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64678FD3" w:rsidR="00E90E49" w:rsidRPr="00DD0C5B" w:rsidRDefault="00E90E49" w:rsidP="00E35559">
      <w:pPr>
        <w:pStyle w:val="3GPPHeader"/>
        <w:spacing w:after="60"/>
        <w:rPr>
          <w:sz w:val="32"/>
          <w:szCs w:val="32"/>
        </w:rPr>
      </w:pPr>
      <w:r w:rsidRPr="00CE0424">
        <w:t>3GPP TSG-RAN WG</w:t>
      </w:r>
      <w:r w:rsidR="00F20F5C">
        <w:t>2</w:t>
      </w:r>
      <w:r w:rsidRPr="00CE0424">
        <w:t xml:space="preserve"> #</w:t>
      </w:r>
      <w:r w:rsidR="00F20F5C">
        <w:t>1</w:t>
      </w:r>
      <w:r w:rsidR="00C268E6">
        <w:t>1</w:t>
      </w:r>
      <w:r w:rsidR="008C7031">
        <w:t>9</w:t>
      </w:r>
      <w:r w:rsidR="00F20F5C">
        <w:t>e</w:t>
      </w:r>
      <w:r w:rsidRPr="00CE0424">
        <w:tab/>
      </w:r>
      <w:proofErr w:type="spellStart"/>
      <w:r w:rsidRPr="00CE0424">
        <w:rPr>
          <w:sz w:val="32"/>
          <w:szCs w:val="32"/>
        </w:rPr>
        <w:t>Tdoc</w:t>
      </w:r>
      <w:proofErr w:type="spellEnd"/>
      <w:r w:rsidRPr="00CE0424">
        <w:rPr>
          <w:sz w:val="32"/>
          <w:szCs w:val="32"/>
        </w:rPr>
        <w:t xml:space="preserve"> </w:t>
      </w:r>
      <w:r w:rsidR="00DD0C5B" w:rsidRPr="00DD0C5B">
        <w:rPr>
          <w:sz w:val="32"/>
          <w:szCs w:val="32"/>
        </w:rPr>
        <w:t>R2-2208177</w:t>
      </w:r>
    </w:p>
    <w:p w14:paraId="0DCB9324" w14:textId="41921A83" w:rsidR="00E90E49" w:rsidRPr="00CE0424" w:rsidRDefault="00C268E6" w:rsidP="00311702">
      <w:pPr>
        <w:pStyle w:val="3GPPHeader"/>
      </w:pPr>
      <w:r>
        <w:t xml:space="preserve">Electronic meeting, </w:t>
      </w:r>
      <w:r w:rsidR="00F6401C">
        <w:t>Aug</w:t>
      </w:r>
      <w:r>
        <w:t xml:space="preserve"> </w:t>
      </w:r>
      <w:r w:rsidR="00F6401C">
        <w:t>1</w:t>
      </w:r>
      <w:r w:rsidR="001F1F15">
        <w:t>7</w:t>
      </w:r>
      <w:r w:rsidR="00523070">
        <w:rPr>
          <w:vertAlign w:val="superscript"/>
        </w:rPr>
        <w:t>t</w:t>
      </w:r>
      <w:r w:rsidR="00791415">
        <w:rPr>
          <w:vertAlign w:val="superscript"/>
        </w:rPr>
        <w:t>h</w:t>
      </w:r>
      <w:r>
        <w:t xml:space="preserve"> – </w:t>
      </w:r>
      <w:r w:rsidR="00F6401C">
        <w:t>2</w:t>
      </w:r>
      <w:r w:rsidR="001F1F15">
        <w:t>9</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25322B74" w:rsidR="00E90E49" w:rsidRPr="00D17513" w:rsidRDefault="00E90E49" w:rsidP="00311702">
      <w:pPr>
        <w:pStyle w:val="3GPPHeader"/>
        <w:rPr>
          <w:sz w:val="22"/>
          <w:szCs w:val="22"/>
          <w:lang w:val="sv-SE"/>
        </w:rPr>
      </w:pPr>
      <w:r w:rsidRPr="00D17513">
        <w:rPr>
          <w:sz w:val="22"/>
          <w:szCs w:val="22"/>
          <w:lang w:val="sv-SE"/>
        </w:rPr>
        <w:t>Agenda Item:</w:t>
      </w:r>
      <w:r w:rsidRPr="00D17513">
        <w:rPr>
          <w:sz w:val="22"/>
          <w:szCs w:val="22"/>
          <w:lang w:val="sv-SE"/>
        </w:rPr>
        <w:tab/>
      </w:r>
      <w:r w:rsidR="00B466C9">
        <w:t>8.13.2</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6EC1A800" w:rsidR="00E90E49" w:rsidRPr="00CE0424" w:rsidRDefault="003D3C45" w:rsidP="00311702">
      <w:pPr>
        <w:pStyle w:val="3GPPHeader"/>
        <w:rPr>
          <w:sz w:val="22"/>
          <w:szCs w:val="22"/>
        </w:rPr>
      </w:pPr>
      <w:r>
        <w:rPr>
          <w:sz w:val="22"/>
          <w:szCs w:val="22"/>
        </w:rPr>
        <w:t>Title:</w:t>
      </w:r>
      <w:r w:rsidR="00E90E49" w:rsidRPr="00CE0424">
        <w:rPr>
          <w:sz w:val="22"/>
          <w:szCs w:val="22"/>
        </w:rPr>
        <w:tab/>
      </w:r>
      <w:r w:rsidR="00C86B09">
        <w:rPr>
          <w:sz w:val="22"/>
          <w:szCs w:val="22"/>
        </w:rPr>
        <w:t xml:space="preserve">On Mobility Robustness Optimization </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549AA">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03D73ECD" w14:textId="56BC7937" w:rsidR="00CC444E" w:rsidRPr="00583002" w:rsidRDefault="00752FF3" w:rsidP="00CC444E">
      <w:pPr>
        <w:pStyle w:val="BodyText"/>
      </w:pPr>
      <w:r>
        <w:rPr>
          <w:rStyle w:val="IvDbodytextChar"/>
        </w:rPr>
        <w:t>Rel</w:t>
      </w:r>
      <w:r w:rsidR="003724B3">
        <w:rPr>
          <w:rStyle w:val="IvDbodytextChar"/>
        </w:rPr>
        <w:t>-</w:t>
      </w:r>
      <w:r>
        <w:rPr>
          <w:rStyle w:val="IvDbodytextChar"/>
        </w:rPr>
        <w:t>18 SON/MDT WID document (</w:t>
      </w:r>
      <w:r w:rsidRPr="000E7B6A">
        <w:rPr>
          <w:rStyle w:val="IvDbodytextChar"/>
        </w:rPr>
        <w:t>RP-221825</w:t>
      </w:r>
      <w:r>
        <w:rPr>
          <w:rStyle w:val="IvDbodytextChar"/>
        </w:rPr>
        <w:t>)</w:t>
      </w:r>
      <w:r w:rsidR="00C95ACF">
        <w:t xml:space="preserve"> has </w:t>
      </w:r>
      <w:r w:rsidR="00C86B09">
        <w:t xml:space="preserve">identified </w:t>
      </w:r>
      <w:r w:rsidR="00353658">
        <w:t>various</w:t>
      </w:r>
      <w:r w:rsidR="00C86B09">
        <w:t xml:space="preserve"> features targeting to optimize mobility robustness. In this contribution, we discuss different features identified in Rel-18 WID and identify some working assumptions</w:t>
      </w:r>
      <w:r w:rsidR="00B14BF2">
        <w:t xml:space="preserve"> as well as enhancements. In addition</w:t>
      </w:r>
      <w:r w:rsidR="00401FB1">
        <w:t>,</w:t>
      </w:r>
      <w:r w:rsidR="00B14BF2">
        <w:t xml:space="preserve"> we discuss some enhancements to the random</w:t>
      </w:r>
      <w:r w:rsidR="00BA1AD4">
        <w:t>-</w:t>
      </w:r>
      <w:r w:rsidR="00B14BF2">
        <w:t>access procedure in this paper</w:t>
      </w:r>
      <w:r w:rsidR="00C86B09">
        <w:t>.</w:t>
      </w:r>
    </w:p>
    <w:p w14:paraId="186BE46F" w14:textId="17830B53" w:rsidR="004000E8" w:rsidRDefault="00230D18" w:rsidP="00CE0424">
      <w:pPr>
        <w:pStyle w:val="Heading1"/>
      </w:pPr>
      <w:bookmarkStart w:id="0" w:name="_Ref178064866"/>
      <w:r>
        <w:t>2</w:t>
      </w:r>
      <w:r>
        <w:tab/>
      </w:r>
      <w:bookmarkEnd w:id="0"/>
      <w:r w:rsidR="00DD02C0">
        <w:t xml:space="preserve">Successful </w:t>
      </w:r>
      <w:proofErr w:type="spellStart"/>
      <w:r w:rsidR="00DD02C0">
        <w:t>PSCell</w:t>
      </w:r>
      <w:proofErr w:type="spellEnd"/>
      <w:r w:rsidR="00DD02C0">
        <w:t xml:space="preserve"> Report</w:t>
      </w:r>
    </w:p>
    <w:p w14:paraId="36A66074" w14:textId="4A44E87B" w:rsidR="00CE468B" w:rsidRDefault="00CE468B" w:rsidP="00CE468B">
      <w:pPr>
        <w:pStyle w:val="BodyText"/>
      </w:pPr>
      <w:r>
        <w:t xml:space="preserve">The WID allows for the development of successful </w:t>
      </w:r>
      <w:proofErr w:type="spellStart"/>
      <w:r>
        <w:t>PSCell</w:t>
      </w:r>
      <w:proofErr w:type="spellEnd"/>
      <w:r>
        <w:t xml:space="preserve"> report in DC scenario:</w:t>
      </w:r>
    </w:p>
    <w:p w14:paraId="70A674EB" w14:textId="4DEA86B1" w:rsidR="00DD02C0" w:rsidRPr="00980514" w:rsidRDefault="00DD02C0" w:rsidP="00DD02C0">
      <w:pPr>
        <w:pStyle w:val="BodyText"/>
        <w:rPr>
          <w:i/>
          <w:iCs/>
        </w:rPr>
      </w:pPr>
      <w:r>
        <w:t xml:space="preserve">The Rel-18 SON WID </w:t>
      </w:r>
      <w:r w:rsidRPr="00980514">
        <w:rPr>
          <w:i/>
          <w:iCs/>
        </w:rPr>
        <w:t xml:space="preserve">New WID on further enhancement of data collection for SON (Self-Organising Networks)/MDT (Minimization of Drive Tests) in NR standalone and MR-DC (Multi-Radio Dual Connectivity) [1] </w:t>
      </w:r>
      <w:r w:rsidRPr="00980514">
        <w:t>says:</w:t>
      </w:r>
    </w:p>
    <w:p w14:paraId="3CE06158" w14:textId="77777777" w:rsidR="00DD02C0" w:rsidRDefault="00DD02C0" w:rsidP="00DD02C0">
      <w:pPr>
        <w:pStyle w:val="BodyText"/>
        <w:ind w:left="567"/>
      </w:pPr>
      <w:r>
        <w:t>“</w:t>
      </w:r>
      <w:r w:rsidRPr="00980514">
        <w:rPr>
          <w:rFonts w:ascii="Times New Roman" w:eastAsia="SimSun" w:hAnsi="Times New Roman"/>
          <w:sz w:val="22"/>
          <w:szCs w:val="22"/>
        </w:rPr>
        <w:t xml:space="preserve">The objective of this work item is to specify </w:t>
      </w:r>
      <w:r w:rsidRPr="00980514">
        <w:rPr>
          <w:rFonts w:ascii="Times New Roman" w:eastAsia="SimSun" w:hAnsi="Times New Roman" w:hint="eastAsia"/>
          <w:sz w:val="22"/>
          <w:szCs w:val="22"/>
        </w:rPr>
        <w:t xml:space="preserve">data collection enhancement in NR </w:t>
      </w:r>
      <w:r w:rsidRPr="00980514">
        <w:rPr>
          <w:rFonts w:ascii="Times New Roman" w:eastAsia="SimSun" w:hAnsi="Times New Roman"/>
          <w:sz w:val="22"/>
          <w:szCs w:val="22"/>
        </w:rPr>
        <w:t>for SON/MDT purpose</w:t>
      </w:r>
      <w:r w:rsidRPr="002D45A3">
        <w:rPr>
          <w:rFonts w:ascii="Times New Roman" w:eastAsia="SimSun" w:hAnsi="Times New Roman" w:hint="eastAsia"/>
        </w:rPr>
        <w:t>.</w:t>
      </w:r>
      <w:r>
        <w:t>”, and</w:t>
      </w:r>
    </w:p>
    <w:p w14:paraId="07033E1F" w14:textId="77777777" w:rsidR="00DD02C0" w:rsidRPr="00980514" w:rsidRDefault="00DD02C0" w:rsidP="00DD02C0">
      <w:pPr>
        <w:spacing w:before="120" w:line="280" w:lineRule="atLeast"/>
        <w:ind w:left="567"/>
        <w:rPr>
          <w:rFonts w:eastAsia="SimSun"/>
          <w:sz w:val="22"/>
          <w:szCs w:val="22"/>
        </w:rPr>
      </w:pPr>
      <w:r w:rsidRPr="003C41C3">
        <w:rPr>
          <w:rFonts w:ascii="Arial" w:hAnsi="Arial" w:cs="Arial"/>
        </w:rPr>
        <w:t>“</w:t>
      </w:r>
      <w:r w:rsidRPr="00980514">
        <w:rPr>
          <w:rFonts w:eastAsia="SimSun" w:hint="eastAsia"/>
          <w:sz w:val="22"/>
          <w:szCs w:val="22"/>
        </w:rPr>
        <w:t xml:space="preserve">- </w:t>
      </w:r>
      <w:r w:rsidRPr="00980514">
        <w:rPr>
          <w:rFonts w:eastAsia="SimSun"/>
          <w:sz w:val="22"/>
          <w:szCs w:val="22"/>
        </w:rPr>
        <w:t>Support of SON/MDT enhancements for [RAN3, RAN2]:</w:t>
      </w:r>
    </w:p>
    <w:p w14:paraId="2272D3E0" w14:textId="77777777" w:rsidR="00DD02C0" w:rsidRPr="00980514" w:rsidRDefault="00DD02C0" w:rsidP="001F1F15">
      <w:pPr>
        <w:pStyle w:val="ListParagraph"/>
        <w:numPr>
          <w:ilvl w:val="0"/>
          <w:numId w:val="17"/>
        </w:numPr>
        <w:overflowPunct/>
        <w:autoSpaceDE/>
        <w:autoSpaceDN/>
        <w:adjustRightInd/>
        <w:spacing w:before="120" w:after="160" w:line="280" w:lineRule="atLeast"/>
        <w:ind w:left="1287"/>
        <w:contextualSpacing/>
        <w:textAlignment w:val="auto"/>
        <w:rPr>
          <w:rFonts w:ascii="Times New Roman" w:eastAsia="SimSun" w:hAnsi="Times New Roman"/>
        </w:rPr>
      </w:pPr>
      <w:r>
        <w:rPr>
          <w:rFonts w:ascii="Times New Roman" w:eastAsia="SimSun" w:hAnsi="Times New Roman"/>
          <w:lang w:val="en-US"/>
        </w:rPr>
        <w:t>…</w:t>
      </w:r>
    </w:p>
    <w:p w14:paraId="2A36FD16" w14:textId="7C9C60C0" w:rsidR="00DD02C0" w:rsidRPr="00980514" w:rsidRDefault="00DD02C0" w:rsidP="001F1F15">
      <w:pPr>
        <w:pStyle w:val="ListParagraph"/>
        <w:numPr>
          <w:ilvl w:val="0"/>
          <w:numId w:val="17"/>
        </w:numPr>
        <w:overflowPunct/>
        <w:autoSpaceDE/>
        <w:autoSpaceDN/>
        <w:adjustRightInd/>
        <w:spacing w:before="120" w:after="160" w:line="280" w:lineRule="atLeast"/>
        <w:ind w:left="1287"/>
        <w:contextualSpacing/>
        <w:textAlignment w:val="auto"/>
        <w:rPr>
          <w:rFonts w:ascii="Times New Roman" w:eastAsia="SimSun" w:hAnsi="Times New Roman"/>
        </w:rPr>
      </w:pPr>
      <w:r w:rsidRPr="00980514">
        <w:rPr>
          <w:rFonts w:ascii="Times New Roman" w:hAnsi="Times New Roman" w:hint="eastAsia"/>
        </w:rPr>
        <w:t xml:space="preserve">Successful </w:t>
      </w:r>
      <w:proofErr w:type="spellStart"/>
      <w:r>
        <w:rPr>
          <w:rFonts w:ascii="Times New Roman" w:hAnsi="Times New Roman"/>
          <w:lang w:val="en-US"/>
        </w:rPr>
        <w:t>PSCell</w:t>
      </w:r>
      <w:proofErr w:type="spellEnd"/>
      <w:r>
        <w:rPr>
          <w:rFonts w:ascii="Times New Roman" w:hAnsi="Times New Roman"/>
          <w:lang w:val="en-US"/>
        </w:rPr>
        <w:t xml:space="preserve"> change report</w:t>
      </w:r>
    </w:p>
    <w:p w14:paraId="60167C27" w14:textId="205DBCBB" w:rsidR="00DD02C0" w:rsidRDefault="00DD02C0" w:rsidP="001F1F15">
      <w:pPr>
        <w:pStyle w:val="Observation"/>
      </w:pPr>
      <w:bookmarkStart w:id="1" w:name="_Toc110962881"/>
      <w:r>
        <w:t>The WID allows for the development of</w:t>
      </w:r>
      <w:r w:rsidR="00FF35A5">
        <w:t xml:space="preserve"> a new report to capture</w:t>
      </w:r>
      <w:r>
        <w:t xml:space="preserve"> successful </w:t>
      </w:r>
      <w:proofErr w:type="spellStart"/>
      <w:r>
        <w:t>PSCell</w:t>
      </w:r>
      <w:proofErr w:type="spellEnd"/>
      <w:r>
        <w:t xml:space="preserve"> change</w:t>
      </w:r>
      <w:r w:rsidR="00FF35A5">
        <w:t xml:space="preserve">s </w:t>
      </w:r>
      <w:r>
        <w:t>in DC scenario.</w:t>
      </w:r>
      <w:bookmarkEnd w:id="1"/>
    </w:p>
    <w:p w14:paraId="4C224AA2" w14:textId="567A7024" w:rsidR="00DD02C0" w:rsidRDefault="00DD02C0" w:rsidP="00EA0990">
      <w:pPr>
        <w:pStyle w:val="BodyText"/>
      </w:pPr>
      <w:r>
        <w:t xml:space="preserve">However, the WID does not mention if it is applicable for all MR-DC scenarios or only NR-DC scenarios. In our opinion, E-UTRAN changes should be kept to </w:t>
      </w:r>
      <w:r w:rsidR="00537E1A">
        <w:t>minimum,</w:t>
      </w:r>
      <w:r>
        <w:t xml:space="preserve"> and the focus of Rel-18 should be only NR.</w:t>
      </w:r>
      <w:r w:rsidR="00A32797">
        <w:t xml:space="preserve"> This WI is SON enhancement for NR</w:t>
      </w:r>
      <w:r w:rsidR="00CA095C">
        <w:t xml:space="preserve"> and at</w:t>
      </w:r>
      <w:r w:rsidR="001D33E8">
        <w:t xml:space="preserve"> the</w:t>
      </w:r>
      <w:r w:rsidR="00CA095C">
        <w:t xml:space="preserve"> first step we need to focus on NR-DC scenarios rather than </w:t>
      </w:r>
      <w:r w:rsidR="00A65945">
        <w:t xml:space="preserve">other technologies for MR-DC e.g., </w:t>
      </w:r>
      <w:r w:rsidR="0063184B">
        <w:t>ENDC/NEDC.</w:t>
      </w:r>
      <w:r>
        <w:t xml:space="preserve"> </w:t>
      </w:r>
      <w:r w:rsidR="00BD4C07">
        <w:t>Thus,</w:t>
      </w:r>
      <w:r>
        <w:t xml:space="preserve"> we request RAN2 to consider only NR-DC scenarios for successful </w:t>
      </w:r>
      <w:proofErr w:type="spellStart"/>
      <w:r>
        <w:t>PSCell</w:t>
      </w:r>
      <w:proofErr w:type="spellEnd"/>
      <w:r>
        <w:t xml:space="preserve"> report.</w:t>
      </w:r>
    </w:p>
    <w:p w14:paraId="2AE60825" w14:textId="74FD4F6A" w:rsidR="00371337" w:rsidRDefault="00371337" w:rsidP="00371337">
      <w:pPr>
        <w:pStyle w:val="Proposal"/>
        <w:jc w:val="left"/>
      </w:pPr>
      <w:bookmarkStart w:id="2" w:name="_Toc110963450"/>
      <w:r>
        <w:t xml:space="preserve">RAN2 </w:t>
      </w:r>
      <w:r w:rsidR="00413B76">
        <w:t>prioritiz</w:t>
      </w:r>
      <w:r w:rsidR="00230B84">
        <w:t>e</w:t>
      </w:r>
      <w:r>
        <w:t xml:space="preserve"> NR</w:t>
      </w:r>
      <w:r w:rsidR="000255D8">
        <w:t>-</w:t>
      </w:r>
      <w:r>
        <w:t>DC scenario</w:t>
      </w:r>
      <w:r w:rsidR="00230B84">
        <w:t xml:space="preserve"> for successful </w:t>
      </w:r>
      <w:proofErr w:type="spellStart"/>
      <w:r w:rsidR="00230B84">
        <w:t>P</w:t>
      </w:r>
      <w:r w:rsidR="002D241C">
        <w:t>S</w:t>
      </w:r>
      <w:r w:rsidR="00230B84">
        <w:t>Cell</w:t>
      </w:r>
      <w:proofErr w:type="spellEnd"/>
      <w:r w:rsidR="00230B84">
        <w:t xml:space="preserve"> change/addition report</w:t>
      </w:r>
      <w:r>
        <w:t>.</w:t>
      </w:r>
      <w:bookmarkEnd w:id="2"/>
    </w:p>
    <w:p w14:paraId="16186465" w14:textId="3A69EB93" w:rsidR="00B17658" w:rsidRDefault="00B17658" w:rsidP="00247070">
      <w:pPr>
        <w:pStyle w:val="BodyText"/>
      </w:pPr>
      <w:r>
        <w:t xml:space="preserve">Furthermore, from RAN3 perspective, </w:t>
      </w:r>
      <w:proofErr w:type="spellStart"/>
      <w:r>
        <w:t>PSCell</w:t>
      </w:r>
      <w:proofErr w:type="spellEnd"/>
      <w:r>
        <w:t xml:space="preserve"> change and </w:t>
      </w:r>
      <w:proofErr w:type="spellStart"/>
      <w:r>
        <w:t>PSCell</w:t>
      </w:r>
      <w:proofErr w:type="spellEnd"/>
      <w:r>
        <w:t xml:space="preserve"> addition are performed via same procedure (S-NODE ADDITION REQUST message); </w:t>
      </w:r>
      <w:proofErr w:type="spellStart"/>
      <w:r>
        <w:t>PSCell</w:t>
      </w:r>
      <w:proofErr w:type="spellEnd"/>
      <w:r>
        <w:t xml:space="preserve"> addition can be considered as a special case of successful </w:t>
      </w:r>
      <w:proofErr w:type="spellStart"/>
      <w:r>
        <w:t>PSCell</w:t>
      </w:r>
      <w:proofErr w:type="spellEnd"/>
      <w:r>
        <w:t xml:space="preserve"> change. It should be noted that </w:t>
      </w:r>
      <w:proofErr w:type="spellStart"/>
      <w:r>
        <w:t>PSCell</w:t>
      </w:r>
      <w:proofErr w:type="spellEnd"/>
      <w:r>
        <w:t xml:space="preserve"> addition procedure may also trigger successful </w:t>
      </w:r>
      <w:proofErr w:type="spellStart"/>
      <w:r>
        <w:t>PSCell</w:t>
      </w:r>
      <w:proofErr w:type="spellEnd"/>
      <w:r>
        <w:t xml:space="preserve"> change report </w:t>
      </w:r>
      <w:r w:rsidR="003277FB">
        <w:t xml:space="preserve">i.e., </w:t>
      </w:r>
      <w:r>
        <w:t xml:space="preserve">due to sub-optimal RLF timer settings from the </w:t>
      </w:r>
      <w:proofErr w:type="spellStart"/>
      <w:r>
        <w:t>PSCell</w:t>
      </w:r>
      <w:proofErr w:type="spellEnd"/>
      <w:r>
        <w:t xml:space="preserve">. Hence, in our opinion, successful </w:t>
      </w:r>
      <w:proofErr w:type="spellStart"/>
      <w:r>
        <w:t>PSCell</w:t>
      </w:r>
      <w:proofErr w:type="spellEnd"/>
      <w:r>
        <w:t xml:space="preserve"> addition should also be part of th</w:t>
      </w:r>
      <w:r w:rsidR="006548F4">
        <w:t>is</w:t>
      </w:r>
      <w:r>
        <w:t xml:space="preserve"> report.</w:t>
      </w:r>
    </w:p>
    <w:p w14:paraId="40D02C91" w14:textId="512CDCBB" w:rsidR="00B17658" w:rsidRDefault="005627BC" w:rsidP="00B17658">
      <w:pPr>
        <w:pStyle w:val="Proposal"/>
        <w:jc w:val="left"/>
      </w:pPr>
      <w:bookmarkStart w:id="3" w:name="_Toc110963451"/>
      <w:r>
        <w:t>B</w:t>
      </w:r>
      <w:r w:rsidR="00B17658">
        <w:t xml:space="preserve">oth successful </w:t>
      </w:r>
      <w:proofErr w:type="spellStart"/>
      <w:r w:rsidR="00B17658">
        <w:t>PSCell</w:t>
      </w:r>
      <w:proofErr w:type="spellEnd"/>
      <w:r w:rsidR="00B17658">
        <w:t xml:space="preserve"> addition and </w:t>
      </w:r>
      <w:proofErr w:type="spellStart"/>
      <w:r w:rsidR="00B17658">
        <w:t>PSCell</w:t>
      </w:r>
      <w:proofErr w:type="spellEnd"/>
      <w:r w:rsidR="00B17658">
        <w:t xml:space="preserve"> changes </w:t>
      </w:r>
      <w:r>
        <w:t>are considered as part of the</w:t>
      </w:r>
      <w:r w:rsidR="00B17658">
        <w:t xml:space="preserve"> successful </w:t>
      </w:r>
      <w:proofErr w:type="spellStart"/>
      <w:r w:rsidR="00B17658">
        <w:t>PSCell</w:t>
      </w:r>
      <w:proofErr w:type="spellEnd"/>
      <w:r w:rsidR="00B17658">
        <w:t xml:space="preserve"> report (SPR).</w:t>
      </w:r>
      <w:bookmarkEnd w:id="3"/>
    </w:p>
    <w:p w14:paraId="55363731" w14:textId="081B4459" w:rsidR="00DD02C0" w:rsidRPr="00DD02C0" w:rsidRDefault="005D5D93" w:rsidP="00EA0990">
      <w:pPr>
        <w:pStyle w:val="BodyText"/>
      </w:pPr>
      <w:r>
        <w:t xml:space="preserve"> In Dual connectivity (DC) scenarios, </w:t>
      </w:r>
      <w:r w:rsidR="00BD4C07">
        <w:t xml:space="preserve">UE </w:t>
      </w:r>
      <w:r>
        <w:t>may</w:t>
      </w:r>
      <w:r w:rsidR="00BD4C07">
        <w:t xml:space="preserve"> </w:t>
      </w:r>
      <w:r w:rsidR="002F1CF5">
        <w:t>execute</w:t>
      </w:r>
      <w:r w:rsidR="00BD4C07">
        <w:t xml:space="preserve"> multiple </w:t>
      </w:r>
      <w:proofErr w:type="spellStart"/>
      <w:r w:rsidR="00BD4C07">
        <w:t>PSCell</w:t>
      </w:r>
      <w:proofErr w:type="spellEnd"/>
      <w:r w:rsidR="00BD4C07">
        <w:t xml:space="preserve"> changes under the same </w:t>
      </w:r>
      <w:proofErr w:type="spellStart"/>
      <w:r w:rsidR="00BD4C07">
        <w:t>PCell</w:t>
      </w:r>
      <w:proofErr w:type="spellEnd"/>
      <w:r w:rsidR="00BD4C07">
        <w:t xml:space="preserve"> and where each of the </w:t>
      </w:r>
      <w:proofErr w:type="spellStart"/>
      <w:r w:rsidR="00BD4C07">
        <w:t>PSCell</w:t>
      </w:r>
      <w:proofErr w:type="spellEnd"/>
      <w:r w:rsidR="00BD4C07">
        <w:t xml:space="preserve"> changes can potentially generate such a report. If the network is performing MN initiated </w:t>
      </w:r>
      <w:proofErr w:type="spellStart"/>
      <w:r w:rsidR="00BD4C07">
        <w:t>PSCell</w:t>
      </w:r>
      <w:proofErr w:type="spellEnd"/>
      <w:r w:rsidR="00BD4C07">
        <w:t xml:space="preserve"> change then potentially all such </w:t>
      </w:r>
      <w:proofErr w:type="spellStart"/>
      <w:r w:rsidR="00BD4C07">
        <w:t>PSCell</w:t>
      </w:r>
      <w:proofErr w:type="spellEnd"/>
      <w:r w:rsidR="00BD4C07">
        <w:t xml:space="preserve"> change report may be due to the sub-optimal configuration in the same </w:t>
      </w:r>
      <w:proofErr w:type="spellStart"/>
      <w:r w:rsidR="00BD4C07">
        <w:t>PCell</w:t>
      </w:r>
      <w:proofErr w:type="spellEnd"/>
      <w:r w:rsidR="00BD4C07">
        <w:t xml:space="preserve">, e.g., MN is late to trigger </w:t>
      </w:r>
      <w:proofErr w:type="spellStart"/>
      <w:r w:rsidR="00BD4C07">
        <w:t>PSCell</w:t>
      </w:r>
      <w:proofErr w:type="spellEnd"/>
      <w:r w:rsidR="00BD4C07">
        <w:t xml:space="preserve"> change. </w:t>
      </w:r>
    </w:p>
    <w:p w14:paraId="649B70D1" w14:textId="205DBCBB" w:rsidR="00BD4C07" w:rsidRDefault="00BD4C07" w:rsidP="00BD4C07">
      <w:pPr>
        <w:pStyle w:val="Observation"/>
        <w:tabs>
          <w:tab w:val="num" w:pos="360"/>
        </w:tabs>
        <w:jc w:val="left"/>
      </w:pPr>
      <w:bookmarkStart w:id="4" w:name="_Toc110962882"/>
      <w:r>
        <w:t xml:space="preserve">Multiple </w:t>
      </w:r>
      <w:proofErr w:type="spellStart"/>
      <w:r>
        <w:t>PSCell</w:t>
      </w:r>
      <w:proofErr w:type="spellEnd"/>
      <w:r>
        <w:t xml:space="preserve"> change can take place while UE is connected to the same </w:t>
      </w:r>
      <w:proofErr w:type="spellStart"/>
      <w:r>
        <w:t>PCell</w:t>
      </w:r>
      <w:proofErr w:type="spellEnd"/>
      <w:r>
        <w:t xml:space="preserve"> and potentially multiple </w:t>
      </w:r>
      <w:r w:rsidR="00B17658">
        <w:t>SPRs</w:t>
      </w:r>
      <w:r>
        <w:t xml:space="preserve"> may be generated due to sub-optimal configuration in the </w:t>
      </w:r>
      <w:proofErr w:type="spellStart"/>
      <w:r>
        <w:t>PCell</w:t>
      </w:r>
      <w:proofErr w:type="spellEnd"/>
      <w:r>
        <w:t>.</w:t>
      </w:r>
      <w:bookmarkEnd w:id="4"/>
    </w:p>
    <w:p w14:paraId="2606D0C4" w14:textId="1DA32794" w:rsidR="00BD4C07" w:rsidRDefault="00BD4C07" w:rsidP="00F6546A">
      <w:pPr>
        <w:pStyle w:val="BodyText"/>
      </w:pPr>
      <w:r>
        <w:t xml:space="preserve">Hence, it is important that network receives all such </w:t>
      </w:r>
      <w:r w:rsidR="00B17658">
        <w:t xml:space="preserve">successful </w:t>
      </w:r>
      <w:proofErr w:type="spellStart"/>
      <w:r>
        <w:t>PSCell</w:t>
      </w:r>
      <w:proofErr w:type="spellEnd"/>
      <w:r>
        <w:t xml:space="preserve"> report at the same time to correlate that the </w:t>
      </w:r>
      <w:proofErr w:type="spellStart"/>
      <w:r>
        <w:t>PSCell</w:t>
      </w:r>
      <w:proofErr w:type="spellEnd"/>
      <w:r>
        <w:t xml:space="preserve"> changes were performed while the UE was connected to the same </w:t>
      </w:r>
      <w:proofErr w:type="spellStart"/>
      <w:r>
        <w:t>PCell</w:t>
      </w:r>
      <w:proofErr w:type="spellEnd"/>
      <w:r>
        <w:t xml:space="preserve">. It could be achieved by generating a list of </w:t>
      </w:r>
      <w:r w:rsidR="00B17658">
        <w:t xml:space="preserve">successful </w:t>
      </w:r>
      <w:proofErr w:type="spellStart"/>
      <w:r>
        <w:t>PSCell</w:t>
      </w:r>
      <w:proofErr w:type="spellEnd"/>
      <w:r w:rsidR="00B17658">
        <w:t xml:space="preserve"> </w:t>
      </w:r>
      <w:r>
        <w:t>reports.</w:t>
      </w:r>
    </w:p>
    <w:p w14:paraId="29163B27" w14:textId="606B224A" w:rsidR="00BD4C07" w:rsidRDefault="00026B49" w:rsidP="00BD4C07">
      <w:pPr>
        <w:pStyle w:val="Proposal"/>
        <w:jc w:val="left"/>
      </w:pPr>
      <w:bookmarkStart w:id="5" w:name="_Toc110963452"/>
      <w:r>
        <w:t xml:space="preserve">RAN2 </w:t>
      </w:r>
      <w:r w:rsidR="00B76B0D">
        <w:t>to</w:t>
      </w:r>
      <w:r w:rsidR="0031517C">
        <w:t xml:space="preserve"> develop </w:t>
      </w:r>
      <w:r w:rsidR="00D541F6">
        <w:t>a new report</w:t>
      </w:r>
      <w:r w:rsidR="00760C90">
        <w:t xml:space="preserve"> that </w:t>
      </w:r>
      <w:r w:rsidR="00BD4C07">
        <w:t xml:space="preserve">consists of a list of </w:t>
      </w:r>
      <w:r w:rsidR="00B17658">
        <w:t xml:space="preserve">successful </w:t>
      </w:r>
      <w:proofErr w:type="spellStart"/>
      <w:r w:rsidR="00B17658">
        <w:t>PSCell</w:t>
      </w:r>
      <w:proofErr w:type="spellEnd"/>
      <w:r w:rsidR="00B17658">
        <w:t xml:space="preserve"> </w:t>
      </w:r>
      <w:r w:rsidR="00BD4C07">
        <w:t xml:space="preserve">reports generated due to successful </w:t>
      </w:r>
      <w:proofErr w:type="spellStart"/>
      <w:r w:rsidR="00BD4C07">
        <w:t>PSCell</w:t>
      </w:r>
      <w:proofErr w:type="spellEnd"/>
      <w:r w:rsidR="00BD4C07">
        <w:t xml:space="preserve"> changes</w:t>
      </w:r>
      <w:r w:rsidR="00B17658">
        <w:t xml:space="preserve"> or addition</w:t>
      </w:r>
      <w:r w:rsidR="00FF35A5">
        <w:t xml:space="preserve"> under a given </w:t>
      </w:r>
      <w:proofErr w:type="spellStart"/>
      <w:r w:rsidR="00FF35A5">
        <w:t>PCell</w:t>
      </w:r>
      <w:proofErr w:type="spellEnd"/>
      <w:r w:rsidR="00BD4C07">
        <w:t>.</w:t>
      </w:r>
      <w:bookmarkEnd w:id="5"/>
    </w:p>
    <w:p w14:paraId="2B914332" w14:textId="01A4EB1C" w:rsidR="001F1F15" w:rsidRDefault="009A0E5D" w:rsidP="001F1F15">
      <w:pPr>
        <w:pStyle w:val="Heading1"/>
      </w:pPr>
      <w:r>
        <w:t>3</w:t>
      </w:r>
      <w:r w:rsidR="001F1F15">
        <w:tab/>
      </w:r>
      <w:r w:rsidR="003749E3">
        <w:t>MRO for MR-DC and</w:t>
      </w:r>
      <w:r w:rsidR="00E323AD">
        <w:t xml:space="preserve"> SCG</w:t>
      </w:r>
      <w:r w:rsidR="00E95879">
        <w:t xml:space="preserve"> failure or deactivation</w:t>
      </w:r>
    </w:p>
    <w:p w14:paraId="7ECBA3D6" w14:textId="77777777" w:rsidR="001F1F15" w:rsidRDefault="001F1F15" w:rsidP="001F1F15">
      <w:pPr>
        <w:pStyle w:val="BodyText"/>
        <w:rPr>
          <w:lang w:val="en-US"/>
        </w:rPr>
      </w:pPr>
      <w:r w:rsidRPr="00EC76D8">
        <w:rPr>
          <w:lang w:val="en-US"/>
        </w:rPr>
        <w:t xml:space="preserve">In NR or EUTRA Dual-Connectivity (DC) operation, the </w:t>
      </w:r>
      <w:proofErr w:type="spellStart"/>
      <w:r w:rsidRPr="00EC76D8">
        <w:rPr>
          <w:lang w:val="en-US"/>
        </w:rPr>
        <w:t>SCGFailureInformation</w:t>
      </w:r>
      <w:proofErr w:type="spellEnd"/>
      <w:r w:rsidRPr="00EC76D8">
        <w:rPr>
          <w:lang w:val="en-US"/>
        </w:rPr>
        <w:t xml:space="preserve"> procedure is initiated when </w:t>
      </w:r>
      <w:r w:rsidRPr="00536676">
        <w:rPr>
          <w:rStyle w:val="IvDbodytextChar"/>
        </w:rPr>
        <w:t xml:space="preserve">secondary Cell Group (SCG) </w:t>
      </w:r>
      <w:r w:rsidRPr="00EC76D8">
        <w:rPr>
          <w:lang w:val="en-US"/>
        </w:rPr>
        <w:t xml:space="preserve">failure has experienced by a UE. The connection failure type in this message can be due to either 1) </w:t>
      </w:r>
      <w:r w:rsidRPr="00113CD7">
        <w:rPr>
          <w:lang w:val="en-US"/>
        </w:rPr>
        <w:t>SCG RLF</w:t>
      </w:r>
      <w:r w:rsidRPr="00EC76D8">
        <w:rPr>
          <w:lang w:val="en-US"/>
        </w:rPr>
        <w:t xml:space="preserve">, 2) </w:t>
      </w:r>
      <w:proofErr w:type="spellStart"/>
      <w:r w:rsidRPr="00EC76D8">
        <w:rPr>
          <w:lang w:val="en-US"/>
        </w:rPr>
        <w:t>PSCell</w:t>
      </w:r>
      <w:proofErr w:type="spellEnd"/>
      <w:r w:rsidRPr="00EC76D8">
        <w:rPr>
          <w:lang w:val="en-US"/>
        </w:rPr>
        <w:t xml:space="preserve"> addition or 3) </w:t>
      </w:r>
      <w:proofErr w:type="spellStart"/>
      <w:r w:rsidRPr="00EC76D8">
        <w:rPr>
          <w:lang w:val="en-US"/>
        </w:rPr>
        <w:t>PSCell</w:t>
      </w:r>
      <w:proofErr w:type="spellEnd"/>
      <w:r w:rsidRPr="00EC76D8">
        <w:rPr>
          <w:lang w:val="en-US"/>
        </w:rPr>
        <w:t xml:space="preserve"> change failure. The </w:t>
      </w:r>
      <w:proofErr w:type="spellStart"/>
      <w:r w:rsidRPr="00EC76D8">
        <w:rPr>
          <w:lang w:val="en-US"/>
        </w:rPr>
        <w:t>SCGFailureInformation</w:t>
      </w:r>
      <w:proofErr w:type="spellEnd"/>
      <w:r w:rsidRPr="00EC76D8">
        <w:rPr>
          <w:lang w:val="en-US"/>
        </w:rPr>
        <w:t xml:space="preserve"> message is signaled immediately to the MN after SCG RLF to provide information regarding NR SCG failures detected by UE. </w:t>
      </w:r>
      <w:r>
        <w:rPr>
          <w:lang w:val="en-US"/>
        </w:rPr>
        <w:t xml:space="preserve">This also applies when </w:t>
      </w:r>
      <w:proofErr w:type="spellStart"/>
      <w:r>
        <w:rPr>
          <w:lang w:val="en-US"/>
        </w:rPr>
        <w:t>MCGFailureInformation</w:t>
      </w:r>
      <w:proofErr w:type="spellEnd"/>
      <w:r>
        <w:rPr>
          <w:lang w:val="en-US"/>
        </w:rPr>
        <w:t xml:space="preserve"> procedure is initiated by the UE </w:t>
      </w:r>
      <w:r>
        <w:rPr>
          <w:rStyle w:val="IvDbodytextChar"/>
        </w:rPr>
        <w:t xml:space="preserve">i.e., UE sends </w:t>
      </w:r>
      <w:proofErr w:type="spellStart"/>
      <w:r>
        <w:rPr>
          <w:rStyle w:val="IvDbodytextChar"/>
        </w:rPr>
        <w:t>MCGFailureInformation</w:t>
      </w:r>
      <w:proofErr w:type="spellEnd"/>
      <w:r>
        <w:rPr>
          <w:rStyle w:val="IvDbodytextChar"/>
        </w:rPr>
        <w:t xml:space="preserve"> to the SN for failure associated to master cell group (MCG) as an indicator of the MCG related link failure issues</w:t>
      </w:r>
      <w:r w:rsidRPr="004045DD">
        <w:rPr>
          <w:rStyle w:val="IvDbodytextChar"/>
        </w:rPr>
        <w:t>.</w:t>
      </w:r>
    </w:p>
    <w:p w14:paraId="65593E4D" w14:textId="77777777" w:rsidR="001F1F15" w:rsidRDefault="001F1F15" w:rsidP="001F1F15">
      <w:pPr>
        <w:pStyle w:val="BodyText"/>
      </w:pPr>
      <w:r>
        <w:rPr>
          <w:rStyle w:val="normaltextrun"/>
          <w:rFonts w:cs="Arial"/>
          <w:color w:val="000000"/>
          <w:shd w:val="clear" w:color="auto" w:fill="FFFFFF"/>
        </w:rPr>
        <w:t xml:space="preserve">The WID allows for the development of MRO for MR-DC SCG failure, and </w:t>
      </w:r>
      <w:proofErr w:type="spellStart"/>
      <w:r>
        <w:rPr>
          <w:rStyle w:val="normaltextrun"/>
          <w:rFonts w:cs="Arial"/>
          <w:color w:val="000000"/>
          <w:shd w:val="clear" w:color="auto" w:fill="FFFFFF"/>
        </w:rPr>
        <w:t>i</w:t>
      </w:r>
      <w:proofErr w:type="spellEnd"/>
      <w:r>
        <w:rPr>
          <w:rStyle w:val="normaltextrun"/>
          <w:rFonts w:cs="Arial"/>
          <w:color w:val="000000"/>
          <w:shd w:val="clear" w:color="auto" w:fill="FFFFFF"/>
          <w:lang w:val="en-US"/>
        </w:rPr>
        <w:t xml:space="preserve">t is identified that there is a need for studying </w:t>
      </w:r>
      <w:r>
        <w:t>SCG failure related reporting.</w:t>
      </w:r>
    </w:p>
    <w:p w14:paraId="2BB81007" w14:textId="77777777" w:rsidR="001F1F15" w:rsidRPr="00271D21" w:rsidRDefault="001F1F15" w:rsidP="001F1F15">
      <w:pPr>
        <w:spacing w:before="120" w:line="280" w:lineRule="atLeast"/>
        <w:rPr>
          <w:i/>
          <w:iCs/>
        </w:rPr>
      </w:pPr>
      <w:r w:rsidRPr="00271D21">
        <w:rPr>
          <w:i/>
          <w:iCs/>
        </w:rPr>
        <w:t>Objective</w:t>
      </w:r>
    </w:p>
    <w:p w14:paraId="4F4BA047" w14:textId="77777777" w:rsidR="001F1F15" w:rsidRPr="00271D21" w:rsidRDefault="001F1F15" w:rsidP="001F1F15">
      <w:pPr>
        <w:spacing w:before="120" w:line="280" w:lineRule="atLeast"/>
        <w:rPr>
          <w:i/>
          <w:iCs/>
        </w:rPr>
      </w:pPr>
      <w:r w:rsidRPr="00271D21">
        <w:rPr>
          <w:i/>
          <w:iCs/>
        </w:rPr>
        <w:t>4.1         Objective of SI or Core part WI or Testing part WI</w:t>
      </w:r>
    </w:p>
    <w:p w14:paraId="2350A56D" w14:textId="77777777" w:rsidR="001F1F15" w:rsidRPr="00307F8D" w:rsidRDefault="001F1F15" w:rsidP="001F1F15">
      <w:pPr>
        <w:spacing w:before="120" w:line="280" w:lineRule="atLeast"/>
        <w:rPr>
          <w:i/>
          <w:iCs/>
          <w:lang w:val="en-US" w:eastAsia="en-US"/>
        </w:rPr>
      </w:pPr>
      <w:r w:rsidRPr="00307F8D">
        <w:rPr>
          <w:i/>
          <w:iCs/>
          <w:lang w:val="en-US"/>
        </w:rPr>
        <w:t>The objective of this work item is to specify data collection enhancement in NR for SON/MDT purpose. The specific objectives of this work item are [RAN3, RAN2]:</w:t>
      </w:r>
    </w:p>
    <w:p w14:paraId="67E71412" w14:textId="77777777" w:rsidR="001F1F15" w:rsidRPr="00307F8D" w:rsidRDefault="001F1F15" w:rsidP="001F1F15">
      <w:pPr>
        <w:spacing w:before="120" w:line="280" w:lineRule="atLeast"/>
        <w:rPr>
          <w:i/>
          <w:iCs/>
          <w:lang w:val="en-US"/>
        </w:rPr>
      </w:pPr>
      <w:r w:rsidRPr="00307F8D">
        <w:rPr>
          <w:i/>
          <w:iCs/>
          <w:lang w:val="en-US"/>
        </w:rPr>
        <w:t xml:space="preserve">- Support of data collection for SON features, including inter-RAT Successful Handover Report (SHR), </w:t>
      </w:r>
      <w:r w:rsidRPr="00271D21">
        <w:rPr>
          <w:i/>
          <w:iCs/>
          <w:highlight w:val="yellow"/>
          <w:lang w:val="en-US"/>
        </w:rPr>
        <w:t>MRO for MR-DC SCG failure</w:t>
      </w:r>
      <w:r w:rsidRPr="00307F8D">
        <w:rPr>
          <w:i/>
          <w:iCs/>
          <w:lang w:val="en-US"/>
        </w:rPr>
        <w:t xml:space="preserve"> scenario and NR-U, and MRO enhancement for inter-system handover voice fallback,</w:t>
      </w:r>
    </w:p>
    <w:p w14:paraId="26F9EFB3" w14:textId="77777777" w:rsidR="001F1F15" w:rsidRPr="00307F8D" w:rsidRDefault="001F1F15" w:rsidP="001F1F15">
      <w:pPr>
        <w:pStyle w:val="ListParagraph"/>
        <w:numPr>
          <w:ilvl w:val="0"/>
          <w:numId w:val="19"/>
        </w:numPr>
        <w:overflowPunct/>
        <w:autoSpaceDE/>
        <w:autoSpaceDN/>
        <w:adjustRightInd/>
        <w:spacing w:before="120" w:after="160" w:line="280" w:lineRule="atLeast"/>
        <w:contextualSpacing/>
        <w:textAlignment w:val="auto"/>
        <w:rPr>
          <w:rFonts w:ascii="Times New Roman" w:eastAsia="Times New Roman" w:hAnsi="Times New Roman"/>
          <w:i/>
          <w:iCs/>
          <w:lang w:val="en-US"/>
        </w:rPr>
      </w:pPr>
      <w:r w:rsidRPr="00307F8D">
        <w:rPr>
          <w:rFonts w:ascii="Times New Roman" w:eastAsia="Times New Roman" w:hAnsi="Times New Roman"/>
          <w:i/>
          <w:iCs/>
          <w:lang w:val="en-US"/>
        </w:rPr>
        <w:t>Specification of the UE reporting necessary to enhance the mobility parameter tuning [RAN2]</w:t>
      </w:r>
    </w:p>
    <w:p w14:paraId="5D6D74DA" w14:textId="77777777" w:rsidR="001F1F15" w:rsidRPr="00307F8D" w:rsidRDefault="001F1F15" w:rsidP="001F1F15">
      <w:pPr>
        <w:pStyle w:val="ListParagraph"/>
        <w:numPr>
          <w:ilvl w:val="0"/>
          <w:numId w:val="19"/>
        </w:numPr>
        <w:overflowPunct/>
        <w:autoSpaceDE/>
        <w:autoSpaceDN/>
        <w:adjustRightInd/>
        <w:spacing w:before="120" w:after="160" w:line="280" w:lineRule="atLeast"/>
        <w:contextualSpacing/>
        <w:textAlignment w:val="auto"/>
        <w:rPr>
          <w:rFonts w:ascii="Times New Roman" w:eastAsia="Times New Roman" w:hAnsi="Times New Roman"/>
          <w:i/>
          <w:iCs/>
          <w:lang w:val="en-US"/>
        </w:rPr>
      </w:pPr>
      <w:r w:rsidRPr="00307F8D">
        <w:rPr>
          <w:rFonts w:ascii="Times New Roman" w:eastAsia="Times New Roman" w:hAnsi="Times New Roman"/>
          <w:i/>
          <w:iCs/>
          <w:lang w:val="en-US"/>
        </w:rPr>
        <w:t xml:space="preserve">Specification of the inter-node information exchange, including possible enhancements to interfaces    </w:t>
      </w:r>
      <w:r w:rsidRPr="00307F8D">
        <w:rPr>
          <w:rFonts w:ascii="Times New Roman" w:eastAsia="Times New Roman" w:hAnsi="Times New Roman"/>
          <w:i/>
          <w:iCs/>
          <w:lang w:val="en-US"/>
        </w:rPr>
        <w:br/>
        <w:t>[RAN3]</w:t>
      </w:r>
    </w:p>
    <w:p w14:paraId="4B28AC55" w14:textId="77777777" w:rsidR="001F1F15" w:rsidRDefault="001F1F15" w:rsidP="001F1F15">
      <w:pPr>
        <w:pStyle w:val="BodyText"/>
        <w:rPr>
          <w:lang w:val="en-US"/>
        </w:rPr>
      </w:pPr>
    </w:p>
    <w:p w14:paraId="1C5E1D22" w14:textId="77777777" w:rsidR="001F1F15" w:rsidRDefault="001F1F15" w:rsidP="001F1F15">
      <w:pPr>
        <w:pStyle w:val="Observation"/>
        <w:numPr>
          <w:ilvl w:val="0"/>
          <w:numId w:val="4"/>
        </w:numPr>
        <w:tabs>
          <w:tab w:val="num" w:pos="360"/>
        </w:tabs>
        <w:jc w:val="left"/>
      </w:pPr>
      <w:bookmarkStart w:id="6" w:name="_Toc110264644"/>
      <w:bookmarkStart w:id="7" w:name="_Toc110962883"/>
      <w:r>
        <w:t xml:space="preserve">The WID allows for the development of </w:t>
      </w:r>
      <w:r>
        <w:rPr>
          <w:rStyle w:val="normaltextrun"/>
          <w:rFonts w:cs="Arial"/>
          <w:color w:val="000000"/>
          <w:shd w:val="clear" w:color="auto" w:fill="FFFFFF"/>
        </w:rPr>
        <w:t>MRO for MR-DC SCG failure</w:t>
      </w:r>
      <w:r>
        <w:t>.</w:t>
      </w:r>
      <w:bookmarkEnd w:id="6"/>
      <w:bookmarkEnd w:id="7"/>
    </w:p>
    <w:p w14:paraId="619059C5" w14:textId="77777777" w:rsidR="001F1F15" w:rsidRDefault="001F1F15" w:rsidP="001F1F15">
      <w:pPr>
        <w:pStyle w:val="BodyText"/>
        <w:rPr>
          <w:lang w:val="en-US"/>
        </w:rPr>
      </w:pPr>
    </w:p>
    <w:p w14:paraId="79D0D226" w14:textId="3F64B5C9" w:rsidR="001F1F15" w:rsidRDefault="001F1F15" w:rsidP="001F1F15">
      <w:pPr>
        <w:pStyle w:val="BodyText"/>
        <w:rPr>
          <w:lang w:val="en-US"/>
        </w:rPr>
      </w:pPr>
      <w:r>
        <w:t xml:space="preserve">In this </w:t>
      </w:r>
      <w:r w:rsidR="00807719">
        <w:t xml:space="preserve">part </w:t>
      </w:r>
      <w:r>
        <w:t xml:space="preserve">we </w:t>
      </w:r>
      <w:r w:rsidR="00807719">
        <w:t xml:space="preserve">discuss </w:t>
      </w:r>
      <w:r w:rsidR="004B6E11">
        <w:t>the scenarios in which the MCG and SCG failures take place conc</w:t>
      </w:r>
      <w:r w:rsidR="006046A5">
        <w:t>u</w:t>
      </w:r>
      <w:r w:rsidR="004B6E11">
        <w:t>rrently</w:t>
      </w:r>
      <w:r w:rsidR="006046A5">
        <w:t>.</w:t>
      </w:r>
      <w:r w:rsidR="00EA2C9F">
        <w:t xml:space="preserve"> </w:t>
      </w:r>
      <w:proofErr w:type="gramStart"/>
      <w:r w:rsidR="00EA2C9F">
        <w:t>In particular the</w:t>
      </w:r>
      <w:proofErr w:type="gramEnd"/>
      <w:r w:rsidR="00EA2C9F">
        <w:t xml:space="preserve"> scenarios in which the </w:t>
      </w:r>
      <w:r w:rsidR="00503FAB">
        <w:t xml:space="preserve">fast </w:t>
      </w:r>
      <w:r w:rsidR="00EA2C9F">
        <w:t xml:space="preserve">MCG </w:t>
      </w:r>
      <w:r w:rsidR="00503FAB">
        <w:t>recovery</w:t>
      </w:r>
      <w:r w:rsidR="00EA2C9F">
        <w:t xml:space="preserve"> is not possible due to the fail</w:t>
      </w:r>
      <w:r w:rsidR="00503FAB">
        <w:t>ed or deactivated SCG.</w:t>
      </w:r>
      <w:r w:rsidR="006046A5">
        <w:t xml:space="preserve"> </w:t>
      </w:r>
    </w:p>
    <w:p w14:paraId="734541FF" w14:textId="4351B532" w:rsidR="001F1F15" w:rsidRPr="00FE55C5" w:rsidRDefault="001F1F15" w:rsidP="00EA0990">
      <w:pPr>
        <w:pStyle w:val="IvDInstructiontext"/>
        <w:rPr>
          <w:rStyle w:val="IvDbodytextChar"/>
          <w:rFonts w:cs="Arial"/>
          <w:b/>
        </w:rPr>
      </w:pPr>
      <w:r w:rsidRPr="00F44D96">
        <w:rPr>
          <w:rStyle w:val="IvDbodytextChar"/>
          <w:i w:val="0"/>
          <w:color w:val="auto"/>
          <w:sz w:val="20"/>
          <w:szCs w:val="20"/>
        </w:rPr>
        <w:t xml:space="preserve">However, </w:t>
      </w:r>
      <w:r>
        <w:rPr>
          <w:rStyle w:val="IvDbodytextChar"/>
          <w:i w:val="0"/>
          <w:color w:val="auto"/>
          <w:sz w:val="20"/>
          <w:szCs w:val="20"/>
        </w:rPr>
        <w:t xml:space="preserve">one of such </w:t>
      </w:r>
      <w:r w:rsidR="000F0E5C">
        <w:rPr>
          <w:rStyle w:val="IvDbodytextChar"/>
          <w:i w:val="0"/>
          <w:color w:val="auto"/>
          <w:sz w:val="20"/>
          <w:szCs w:val="20"/>
        </w:rPr>
        <w:t>scenario</w:t>
      </w:r>
      <w:r>
        <w:rPr>
          <w:rStyle w:val="IvDbodytextChar"/>
          <w:i w:val="0"/>
          <w:color w:val="auto"/>
          <w:sz w:val="20"/>
          <w:szCs w:val="20"/>
        </w:rPr>
        <w:t>s is</w:t>
      </w:r>
      <w:r w:rsidRPr="00470446">
        <w:rPr>
          <w:rStyle w:val="IvDbodytextChar"/>
          <w:i w:val="0"/>
        </w:rPr>
        <w:t xml:space="preserve"> </w:t>
      </w:r>
      <w:r>
        <w:rPr>
          <w:rStyle w:val="IvDbodytextChar"/>
          <w:i w:val="0"/>
          <w:color w:val="auto"/>
          <w:sz w:val="20"/>
          <w:szCs w:val="20"/>
        </w:rPr>
        <w:t>when UE stores/loges radio link failure information associated to MCG as well as failure information associated to SCG</w:t>
      </w:r>
      <w:r w:rsidRPr="00CC2C7D">
        <w:rPr>
          <w:rStyle w:val="IvDbodytextChar"/>
          <w:i w:val="0"/>
          <w:color w:val="auto"/>
          <w:sz w:val="20"/>
          <w:szCs w:val="20"/>
        </w:rPr>
        <w:t xml:space="preserve"> </w:t>
      </w:r>
      <w:r>
        <w:rPr>
          <w:rStyle w:val="IvDbodytextChar"/>
          <w:i w:val="0"/>
          <w:color w:val="auto"/>
          <w:sz w:val="20"/>
          <w:szCs w:val="20"/>
        </w:rPr>
        <w:t xml:space="preserve">at the time of MCG failure. For instance, </w:t>
      </w:r>
      <w:r w:rsidR="0080155C">
        <w:rPr>
          <w:rStyle w:val="IvDbodytextChar"/>
          <w:i w:val="0"/>
          <w:color w:val="auto"/>
          <w:sz w:val="20"/>
          <w:szCs w:val="20"/>
        </w:rPr>
        <w:t xml:space="preserve">when </w:t>
      </w:r>
      <w:r>
        <w:rPr>
          <w:rStyle w:val="IvDbodytextChar"/>
          <w:i w:val="0"/>
          <w:color w:val="auto"/>
          <w:sz w:val="20"/>
          <w:szCs w:val="20"/>
        </w:rPr>
        <w:t xml:space="preserve">T316 is configured/triggered but </w:t>
      </w:r>
      <w:r w:rsidR="00CF5A7B">
        <w:rPr>
          <w:rStyle w:val="IvDbodytextChar"/>
          <w:i w:val="0"/>
          <w:color w:val="auto"/>
          <w:sz w:val="20"/>
          <w:szCs w:val="20"/>
        </w:rPr>
        <w:t>the fast MCG link recovery cannot take place</w:t>
      </w:r>
      <w:r w:rsidR="00977683">
        <w:rPr>
          <w:rStyle w:val="IvDbodytextChar"/>
          <w:i w:val="0"/>
          <w:color w:val="auto"/>
          <w:sz w:val="20"/>
          <w:szCs w:val="20"/>
        </w:rPr>
        <w:t xml:space="preserve"> due to the failures at the SCG</w:t>
      </w:r>
      <w:r w:rsidR="00CF5A7B">
        <w:rPr>
          <w:rStyle w:val="IvDbodytextChar"/>
          <w:i w:val="0"/>
          <w:color w:val="auto"/>
          <w:sz w:val="20"/>
          <w:szCs w:val="20"/>
        </w:rPr>
        <w:t xml:space="preserve">, </w:t>
      </w:r>
      <w:proofErr w:type="gramStart"/>
      <w:r w:rsidR="00CF5A7B">
        <w:rPr>
          <w:rStyle w:val="IvDbodytextChar"/>
          <w:i w:val="0"/>
          <w:color w:val="auto"/>
          <w:sz w:val="20"/>
          <w:szCs w:val="20"/>
        </w:rPr>
        <w:t>i.e.</w:t>
      </w:r>
      <w:proofErr w:type="gramEnd"/>
      <w:r w:rsidR="00CF5A7B">
        <w:rPr>
          <w:rStyle w:val="IvDbodytextChar"/>
          <w:i w:val="0"/>
          <w:color w:val="auto"/>
          <w:sz w:val="20"/>
          <w:szCs w:val="20"/>
        </w:rPr>
        <w:t xml:space="preserve"> SCG suspended at the time of MCG RLF,</w:t>
      </w:r>
      <w:r w:rsidR="00977683">
        <w:rPr>
          <w:rStyle w:val="IvDbodytextChar"/>
          <w:i w:val="0"/>
          <w:color w:val="auto"/>
          <w:sz w:val="20"/>
          <w:szCs w:val="20"/>
        </w:rPr>
        <w:t xml:space="preserve"> </w:t>
      </w:r>
      <w:r w:rsidR="00CF5A7B">
        <w:rPr>
          <w:rStyle w:val="IvDbodytextChar"/>
          <w:i w:val="0"/>
          <w:color w:val="auto"/>
          <w:sz w:val="20"/>
          <w:szCs w:val="20"/>
        </w:rPr>
        <w:t>or because</w:t>
      </w:r>
      <w:r w:rsidR="00977683">
        <w:rPr>
          <w:rStyle w:val="IvDbodytextChar"/>
          <w:i w:val="0"/>
          <w:color w:val="auto"/>
          <w:sz w:val="20"/>
          <w:szCs w:val="20"/>
        </w:rPr>
        <w:t xml:space="preserve"> </w:t>
      </w:r>
      <w:r>
        <w:rPr>
          <w:rStyle w:val="IvDbodytextChar"/>
          <w:i w:val="0"/>
          <w:color w:val="auto"/>
          <w:sz w:val="20"/>
          <w:szCs w:val="20"/>
        </w:rPr>
        <w:t xml:space="preserve">the SCG </w:t>
      </w:r>
      <w:r w:rsidR="002E06C1">
        <w:rPr>
          <w:rStyle w:val="IvDbodytextChar"/>
          <w:i w:val="0"/>
          <w:color w:val="auto"/>
          <w:sz w:val="20"/>
          <w:szCs w:val="20"/>
        </w:rPr>
        <w:t xml:space="preserve">has been already </w:t>
      </w:r>
      <w:r>
        <w:rPr>
          <w:rStyle w:val="IvDbodytextChar"/>
          <w:i w:val="0"/>
          <w:color w:val="auto"/>
          <w:sz w:val="20"/>
          <w:szCs w:val="20"/>
        </w:rPr>
        <w:t xml:space="preserve">deactivated by the network </w:t>
      </w:r>
      <w:r w:rsidR="00CF5A7B">
        <w:rPr>
          <w:rStyle w:val="IvDbodytextChar"/>
          <w:i w:val="0"/>
          <w:color w:val="auto"/>
          <w:sz w:val="20"/>
          <w:szCs w:val="20"/>
        </w:rPr>
        <w:t xml:space="preserve">at the time of MCG RLF, then </w:t>
      </w:r>
      <w:r>
        <w:rPr>
          <w:rStyle w:val="IvDbodytextChar"/>
          <w:i w:val="0"/>
          <w:color w:val="auto"/>
          <w:sz w:val="20"/>
          <w:szCs w:val="20"/>
        </w:rPr>
        <w:t>t</w:t>
      </w:r>
      <w:r w:rsidRPr="0026658C">
        <w:rPr>
          <w:rStyle w:val="IvDbodytextChar"/>
          <w:i w:val="0"/>
          <w:color w:val="auto"/>
          <w:sz w:val="20"/>
          <w:szCs w:val="20"/>
        </w:rPr>
        <w:t xml:space="preserve">he UE cannot send the </w:t>
      </w:r>
      <w:proofErr w:type="spellStart"/>
      <w:r>
        <w:rPr>
          <w:rStyle w:val="IvDbodytextChar"/>
          <w:i w:val="0"/>
          <w:color w:val="auto"/>
          <w:sz w:val="20"/>
          <w:szCs w:val="20"/>
        </w:rPr>
        <w:t>M</w:t>
      </w:r>
      <w:r w:rsidRPr="0026658C">
        <w:rPr>
          <w:rStyle w:val="IvDbodytextChar"/>
          <w:i w:val="0"/>
          <w:color w:val="auto"/>
          <w:sz w:val="20"/>
          <w:szCs w:val="20"/>
        </w:rPr>
        <w:t>CGFailureInformation</w:t>
      </w:r>
      <w:proofErr w:type="spellEnd"/>
      <w:r w:rsidRPr="0026658C">
        <w:rPr>
          <w:rStyle w:val="IvDbodytextChar"/>
          <w:i w:val="0"/>
          <w:color w:val="auto"/>
          <w:sz w:val="20"/>
          <w:szCs w:val="20"/>
        </w:rPr>
        <w:t xml:space="preserve"> to the </w:t>
      </w:r>
      <w:r>
        <w:rPr>
          <w:rStyle w:val="IvDbodytextChar"/>
          <w:i w:val="0"/>
          <w:color w:val="auto"/>
          <w:sz w:val="20"/>
          <w:szCs w:val="20"/>
        </w:rPr>
        <w:t>S</w:t>
      </w:r>
      <w:r w:rsidRPr="0026658C">
        <w:rPr>
          <w:rStyle w:val="IvDbodytextChar"/>
          <w:i w:val="0"/>
          <w:color w:val="auto"/>
          <w:sz w:val="20"/>
          <w:szCs w:val="20"/>
        </w:rPr>
        <w:t>N</w:t>
      </w:r>
      <w:r>
        <w:rPr>
          <w:rStyle w:val="IvDbodytextChar"/>
          <w:i w:val="0"/>
          <w:color w:val="auto"/>
          <w:sz w:val="20"/>
          <w:szCs w:val="20"/>
        </w:rPr>
        <w:t>.</w:t>
      </w:r>
      <w:r w:rsidRPr="006D435E">
        <w:rPr>
          <w:i w:val="0"/>
          <w:color w:val="auto"/>
          <w:sz w:val="20"/>
          <w:szCs w:val="20"/>
        </w:rPr>
        <w:t xml:space="preserve"> </w:t>
      </w:r>
      <w:r>
        <w:rPr>
          <w:rStyle w:val="IvDbodytextChar"/>
          <w:i w:val="0"/>
          <w:color w:val="auto"/>
          <w:sz w:val="20"/>
          <w:szCs w:val="20"/>
        </w:rPr>
        <w:t xml:space="preserve">However, the network does not know why the UE could not transmit the </w:t>
      </w:r>
      <w:proofErr w:type="spellStart"/>
      <w:r>
        <w:rPr>
          <w:rStyle w:val="IvDbodytextChar"/>
          <w:i w:val="0"/>
          <w:color w:val="auto"/>
          <w:sz w:val="20"/>
          <w:szCs w:val="20"/>
        </w:rPr>
        <w:t>MCGFailureInformation</w:t>
      </w:r>
      <w:proofErr w:type="spellEnd"/>
      <w:r w:rsidR="00C21ACD">
        <w:rPr>
          <w:rStyle w:val="IvDbodytextChar"/>
          <w:i w:val="0"/>
          <w:color w:val="auto"/>
          <w:sz w:val="20"/>
          <w:szCs w:val="20"/>
        </w:rPr>
        <w:t xml:space="preserve">. </w:t>
      </w:r>
      <w:r>
        <w:rPr>
          <w:rStyle w:val="IvDbodytextChar"/>
          <w:i w:val="0"/>
          <w:color w:val="auto"/>
          <w:sz w:val="20"/>
          <w:szCs w:val="20"/>
        </w:rPr>
        <w:t xml:space="preserve"> </w:t>
      </w:r>
    </w:p>
    <w:p w14:paraId="4301D6FC" w14:textId="77777777" w:rsidR="001F1F15" w:rsidRDefault="001F1F15" w:rsidP="001F1F15">
      <w:pPr>
        <w:pStyle w:val="IvDInstructiontext"/>
        <w:rPr>
          <w:rStyle w:val="IvDbodytextChar"/>
          <w:i w:val="0"/>
          <w:color w:val="auto"/>
          <w:sz w:val="20"/>
          <w:szCs w:val="20"/>
        </w:rPr>
      </w:pPr>
    </w:p>
    <w:p w14:paraId="61B803AB" w14:textId="0EF0B8B7" w:rsidR="00374361" w:rsidRPr="0060013A" w:rsidRDefault="00820BAC" w:rsidP="001F1F15">
      <w:pPr>
        <w:pStyle w:val="Observation"/>
        <w:numPr>
          <w:ilvl w:val="0"/>
          <w:numId w:val="4"/>
        </w:numPr>
      </w:pPr>
      <w:bookmarkStart w:id="8" w:name="_Toc110264645"/>
      <w:bookmarkStart w:id="9" w:name="_Toc110962884"/>
      <w:r>
        <w:t xml:space="preserve">If the SCG is </w:t>
      </w:r>
      <w:r w:rsidRPr="00D6302C">
        <w:rPr>
          <w:u w:val="single"/>
        </w:rPr>
        <w:t>deactivated</w:t>
      </w:r>
      <w:r>
        <w:t xml:space="preserve"> at the time of the</w:t>
      </w:r>
      <w:r w:rsidR="001F1F15">
        <w:rPr>
          <w:lang w:val="en-US"/>
        </w:rPr>
        <w:t xml:space="preserve"> transmission of </w:t>
      </w:r>
      <w:proofErr w:type="spellStart"/>
      <w:r w:rsidR="001F1F15" w:rsidRPr="00864BE0">
        <w:rPr>
          <w:i/>
          <w:lang w:val="en-US"/>
        </w:rPr>
        <w:t>MCGFailureInformation</w:t>
      </w:r>
      <w:proofErr w:type="spellEnd"/>
      <w:r>
        <w:rPr>
          <w:i/>
          <w:lang w:val="en-US"/>
        </w:rPr>
        <w:t>,</w:t>
      </w:r>
      <w:r w:rsidR="001F1F15">
        <w:rPr>
          <w:lang w:val="en-US"/>
        </w:rPr>
        <w:t xml:space="preserve"> the </w:t>
      </w:r>
      <w:r w:rsidR="00374361">
        <w:rPr>
          <w:lang w:val="en-US"/>
        </w:rPr>
        <w:t xml:space="preserve">fast MCG link recovery procedure cannot </w:t>
      </w:r>
      <w:r w:rsidR="005435B3">
        <w:rPr>
          <w:lang w:val="en-US"/>
        </w:rPr>
        <w:t>be performed</w:t>
      </w:r>
      <w:r w:rsidR="00374361">
        <w:rPr>
          <w:lang w:val="en-US"/>
        </w:rPr>
        <w:t>. It would be beneficial for the network to know this information as part of the RLF-Report so that the network can optimize the policies for SCG activation/deactivation.</w:t>
      </w:r>
      <w:bookmarkEnd w:id="9"/>
    </w:p>
    <w:p w14:paraId="38A16B6C" w14:textId="31D3F292" w:rsidR="001F1F15" w:rsidRPr="000D03EA" w:rsidRDefault="00CE3078" w:rsidP="001F1F15">
      <w:pPr>
        <w:pStyle w:val="Observation"/>
        <w:numPr>
          <w:ilvl w:val="0"/>
          <w:numId w:val="4"/>
        </w:numPr>
        <w:rPr>
          <w:rStyle w:val="IvDbodytextChar"/>
          <w:spacing w:val="0"/>
          <w:lang w:val="en-GB" w:eastAsia="ja-JP"/>
        </w:rPr>
      </w:pPr>
      <w:bookmarkStart w:id="10" w:name="_Toc110962885"/>
      <w:bookmarkEnd w:id="8"/>
      <w:r>
        <w:t xml:space="preserve">If the SCG is </w:t>
      </w:r>
      <w:r w:rsidRPr="00D6302C">
        <w:rPr>
          <w:u w:val="single"/>
        </w:rPr>
        <w:t>suspended</w:t>
      </w:r>
      <w:r>
        <w:t xml:space="preserve"> at the time of MCG RLF</w:t>
      </w:r>
      <w:r>
        <w:rPr>
          <w:i/>
          <w:lang w:val="en-US"/>
        </w:rPr>
        <w:t>,</w:t>
      </w:r>
      <w:r>
        <w:rPr>
          <w:lang w:val="en-US"/>
        </w:rPr>
        <w:t xml:space="preserve"> the fast MCG link recovery procedure cannot </w:t>
      </w:r>
      <w:r w:rsidR="005435B3">
        <w:rPr>
          <w:lang w:val="en-US"/>
        </w:rPr>
        <w:t>be performed</w:t>
      </w:r>
      <w:r>
        <w:rPr>
          <w:lang w:val="en-US"/>
        </w:rPr>
        <w:t xml:space="preserve"> and the </w:t>
      </w:r>
      <w:proofErr w:type="spellStart"/>
      <w:r>
        <w:rPr>
          <w:lang w:val="en-US"/>
        </w:rPr>
        <w:t>SCGFailureInformation</w:t>
      </w:r>
      <w:proofErr w:type="spellEnd"/>
      <w:r>
        <w:rPr>
          <w:lang w:val="en-US"/>
        </w:rPr>
        <w:t xml:space="preserve"> message cannot be sent either to the MCG. It would be beneficial for the network to know this information as part of the RLF-Report so that the reason of the SCG failure can be analyzed properly</w:t>
      </w:r>
      <w:r w:rsidR="001F1F15">
        <w:t>.</w:t>
      </w:r>
      <w:bookmarkEnd w:id="10"/>
    </w:p>
    <w:p w14:paraId="39B6E935" w14:textId="7915E26C" w:rsidR="001F1F15" w:rsidRDefault="001F1F15" w:rsidP="001F1F15">
      <w:pPr>
        <w:pStyle w:val="BodyText"/>
        <w:rPr>
          <w:lang w:val="en-US"/>
        </w:rPr>
      </w:pPr>
      <w:r>
        <w:rPr>
          <w:rStyle w:val="IvDbodytextChar"/>
          <w:lang w:val="en-GB"/>
        </w:rPr>
        <w:t xml:space="preserve">In our opinion, when UE detects both MCG and SCG </w:t>
      </w:r>
      <w:r w:rsidRPr="005F5BD2">
        <w:rPr>
          <w:rStyle w:val="IvDbodytextChar"/>
        </w:rPr>
        <w:t>failure</w:t>
      </w:r>
      <w:r>
        <w:rPr>
          <w:rStyle w:val="IvDbodytextChar"/>
        </w:rPr>
        <w:t>s</w:t>
      </w:r>
      <w:r w:rsidR="00380E7A">
        <w:rPr>
          <w:rStyle w:val="IvDbodytextChar"/>
        </w:rPr>
        <w:t xml:space="preserve"> (or SCG deactivation)</w:t>
      </w:r>
      <w:r w:rsidRPr="005F5BD2">
        <w:rPr>
          <w:rStyle w:val="IvDbodytextChar"/>
        </w:rPr>
        <w:t xml:space="preserve"> </w:t>
      </w:r>
      <w:r>
        <w:rPr>
          <w:rStyle w:val="IvDbodytextChar"/>
        </w:rPr>
        <w:t>in</w:t>
      </w:r>
      <w:r w:rsidRPr="005F5BD2">
        <w:rPr>
          <w:rStyle w:val="IvDbodytextChar"/>
        </w:rPr>
        <w:t xml:space="preserve"> </w:t>
      </w:r>
      <w:r>
        <w:rPr>
          <w:rStyle w:val="IvDbodytextChar"/>
        </w:rPr>
        <w:t xml:space="preserve">dual connectivity operation (MR-DC operation), UE shall store both SCG and MCG related information at the time of </w:t>
      </w:r>
      <w:r w:rsidR="00380E7A">
        <w:rPr>
          <w:rStyle w:val="IvDbodytextChar"/>
        </w:rPr>
        <w:t>RLF</w:t>
      </w:r>
      <w:r>
        <w:rPr>
          <w:rStyle w:val="IvDbodytextChar"/>
        </w:rPr>
        <w:t xml:space="preserve"> and report </w:t>
      </w:r>
      <w:r w:rsidR="00380E7A">
        <w:rPr>
          <w:rStyle w:val="IvDbodytextChar"/>
        </w:rPr>
        <w:t xml:space="preserve">such </w:t>
      </w:r>
      <w:r w:rsidR="00487BB0">
        <w:rPr>
          <w:rStyle w:val="IvDbodytextChar"/>
        </w:rPr>
        <w:t>information t</w:t>
      </w:r>
      <w:r>
        <w:rPr>
          <w:rStyle w:val="IvDbodytextChar"/>
        </w:rPr>
        <w:t>o the network via RLF report. Later, when RLF report is fetched by the network, the network realizes the UE was in dual connectivity (DC) operation</w:t>
      </w:r>
      <w:r w:rsidR="0077219D">
        <w:rPr>
          <w:rStyle w:val="IvDbodytextChar"/>
        </w:rPr>
        <w:t xml:space="preserve">, so the UE not only failed on the </w:t>
      </w:r>
      <w:r w:rsidR="008A24CD">
        <w:rPr>
          <w:rStyle w:val="IvDbodytextChar"/>
        </w:rPr>
        <w:t xml:space="preserve">MCG but also didn’t succeed </w:t>
      </w:r>
      <w:r w:rsidR="00E7102E">
        <w:rPr>
          <w:rStyle w:val="IvDbodytextChar"/>
        </w:rPr>
        <w:t>in MCG recovery procedure due to either failure or deactivation of the</w:t>
      </w:r>
      <w:r w:rsidR="00A866EA">
        <w:rPr>
          <w:rStyle w:val="IvDbodytextChar"/>
        </w:rPr>
        <w:t xml:space="preserve"> </w:t>
      </w:r>
      <w:r w:rsidR="00E7102E">
        <w:rPr>
          <w:rStyle w:val="IvDbodytextChar"/>
        </w:rPr>
        <w:t>SCG</w:t>
      </w:r>
      <w:r>
        <w:rPr>
          <w:rStyle w:val="IvDbodytextChar"/>
        </w:rPr>
        <w:t xml:space="preserve"> link.</w:t>
      </w:r>
      <w:r w:rsidR="00877F56">
        <w:rPr>
          <w:rStyle w:val="IvDbodytextChar"/>
        </w:rPr>
        <w:t xml:space="preserve"> Such information can be used by the network node to optimize its DC configuration in such a way to </w:t>
      </w:r>
      <w:r w:rsidR="009561A4">
        <w:rPr>
          <w:rStyle w:val="IvDbodytextChar"/>
        </w:rPr>
        <w:t>allow the UE to use the MCG link recovery procedure via SCG,</w:t>
      </w:r>
    </w:p>
    <w:p w14:paraId="391D67ED" w14:textId="3B45B947" w:rsidR="001F1F15" w:rsidRDefault="00C52C6D" w:rsidP="001F1F15">
      <w:pPr>
        <w:pStyle w:val="Proposal"/>
        <w:jc w:val="left"/>
      </w:pPr>
      <w:bookmarkStart w:id="11" w:name="_Toc110264647"/>
      <w:bookmarkStart w:id="12" w:name="_Toc110963453"/>
      <w:r>
        <w:rPr>
          <w:lang w:val="en-US"/>
        </w:rPr>
        <w:t xml:space="preserve">If the SCG was </w:t>
      </w:r>
      <w:r w:rsidR="00380E7A" w:rsidRPr="007A1B78">
        <w:rPr>
          <w:u w:val="single"/>
        </w:rPr>
        <w:t>suspen</w:t>
      </w:r>
      <w:r w:rsidRPr="007A1B78">
        <w:rPr>
          <w:u w:val="single"/>
        </w:rPr>
        <w:t>ded</w:t>
      </w:r>
      <w:r w:rsidR="00FA6F3F">
        <w:t xml:space="preserve"> or </w:t>
      </w:r>
      <w:r w:rsidRPr="007A1B78">
        <w:rPr>
          <w:u w:val="single"/>
        </w:rPr>
        <w:t>deactivated</w:t>
      </w:r>
      <w:r>
        <w:t xml:space="preserve"> at the time of</w:t>
      </w:r>
      <w:r w:rsidR="001F1F15">
        <w:t xml:space="preserve"> transmission of </w:t>
      </w:r>
      <w:proofErr w:type="spellStart"/>
      <w:r w:rsidR="001F1F15">
        <w:t>MCGFailureInformation</w:t>
      </w:r>
      <w:proofErr w:type="spellEnd"/>
      <w:r w:rsidR="001F1F15">
        <w:t xml:space="preserve">, </w:t>
      </w:r>
      <w:r>
        <w:t xml:space="preserve">the </w:t>
      </w:r>
      <w:r w:rsidR="001F1F15" w:rsidRPr="00094991">
        <w:t>UE store</w:t>
      </w:r>
      <w:r w:rsidR="001F1F15">
        <w:t>s</w:t>
      </w:r>
      <w:r w:rsidR="001F1F15" w:rsidRPr="00094991">
        <w:t xml:space="preserve"> </w:t>
      </w:r>
      <w:r w:rsidR="005852E8">
        <w:t xml:space="preserve">information concerning the </w:t>
      </w:r>
      <w:r w:rsidR="001F1F15">
        <w:t>S</w:t>
      </w:r>
      <w:r w:rsidR="001F1F15" w:rsidRPr="00094991">
        <w:t xml:space="preserve">CG </w:t>
      </w:r>
      <w:r w:rsidR="005852E8">
        <w:t xml:space="preserve">and the failed </w:t>
      </w:r>
      <w:proofErr w:type="spellStart"/>
      <w:r w:rsidR="005852E8">
        <w:t>MCGFailureInformation</w:t>
      </w:r>
      <w:proofErr w:type="spellEnd"/>
      <w:r w:rsidR="001F1F15" w:rsidRPr="00094991">
        <w:t xml:space="preserve"> in RLF report</w:t>
      </w:r>
      <w:r w:rsidR="001F1F15">
        <w:t>.</w:t>
      </w:r>
      <w:bookmarkEnd w:id="11"/>
      <w:bookmarkEnd w:id="12"/>
    </w:p>
    <w:p w14:paraId="1F68A9C1" w14:textId="2B41B248" w:rsidR="001F1F15" w:rsidRPr="008126E8" w:rsidRDefault="001F1F15" w:rsidP="001F1F15">
      <w:pPr>
        <w:pStyle w:val="IvDInstructiontext"/>
        <w:rPr>
          <w:rStyle w:val="IvDbodytextChar"/>
          <w:i w:val="0"/>
          <w:color w:val="auto"/>
          <w:sz w:val="20"/>
          <w:szCs w:val="20"/>
        </w:rPr>
      </w:pPr>
    </w:p>
    <w:p w14:paraId="5DF98E45" w14:textId="0C828169" w:rsidR="009A0E5D" w:rsidRDefault="009A0E5D" w:rsidP="009A0E5D">
      <w:pPr>
        <w:pStyle w:val="Heading1"/>
      </w:pPr>
      <w:r>
        <w:t>4</w:t>
      </w:r>
      <w:r>
        <w:tab/>
      </w:r>
      <w:proofErr w:type="spellStart"/>
      <w:r w:rsidR="00373C17" w:rsidRPr="00D62C8E">
        <w:rPr>
          <w:i/>
          <w:iCs/>
        </w:rPr>
        <w:t>MobilityFromNR</w:t>
      </w:r>
      <w:proofErr w:type="spellEnd"/>
      <w:r w:rsidR="00373C17">
        <w:t xml:space="preserve"> with </w:t>
      </w:r>
      <w:proofErr w:type="spellStart"/>
      <w:r w:rsidRPr="00D62C8E">
        <w:rPr>
          <w:i/>
          <w:iCs/>
        </w:rPr>
        <w:t>VoiceFallBack</w:t>
      </w:r>
      <w:proofErr w:type="spellEnd"/>
      <w:r>
        <w:t xml:space="preserve"> indicat</w:t>
      </w:r>
      <w:r w:rsidR="00373C17">
        <w:t>ion</w:t>
      </w:r>
    </w:p>
    <w:p w14:paraId="49D3D691" w14:textId="77777777" w:rsidR="009A0E5D" w:rsidRPr="00980514" w:rsidRDefault="009A0E5D" w:rsidP="009A0E5D">
      <w:pPr>
        <w:pStyle w:val="BodyText"/>
        <w:rPr>
          <w:i/>
          <w:iCs/>
        </w:rPr>
      </w:pPr>
      <w:r>
        <w:t xml:space="preserve">The Rel-18 SON WID </w:t>
      </w:r>
      <w:r w:rsidRPr="00980514">
        <w:rPr>
          <w:i/>
          <w:iCs/>
        </w:rPr>
        <w:t xml:space="preserve">New WID on further enhancement of data collection for SON (Self-Organising Networks)/MDT (Minimization of Drive Tests) in NR standalone and MR-DC (Multi-Radio Dual Connectivity) [1] </w:t>
      </w:r>
      <w:r w:rsidRPr="00980514">
        <w:t>says:</w:t>
      </w:r>
    </w:p>
    <w:p w14:paraId="5EDB48EC" w14:textId="77777777" w:rsidR="009A0E5D" w:rsidRDefault="009A0E5D" w:rsidP="009A0E5D">
      <w:pPr>
        <w:pStyle w:val="BodyText"/>
        <w:ind w:left="567"/>
      </w:pPr>
      <w:r>
        <w:t>“</w:t>
      </w:r>
      <w:r w:rsidRPr="00980514">
        <w:rPr>
          <w:rFonts w:ascii="Times New Roman" w:eastAsia="SimSun" w:hAnsi="Times New Roman"/>
          <w:sz w:val="22"/>
          <w:szCs w:val="22"/>
        </w:rPr>
        <w:t xml:space="preserve">The objective of this work item is to specify </w:t>
      </w:r>
      <w:r w:rsidRPr="00980514">
        <w:rPr>
          <w:rFonts w:ascii="Times New Roman" w:eastAsia="SimSun" w:hAnsi="Times New Roman" w:hint="eastAsia"/>
          <w:sz w:val="22"/>
          <w:szCs w:val="22"/>
        </w:rPr>
        <w:t xml:space="preserve">data collection enhancement in NR </w:t>
      </w:r>
      <w:r w:rsidRPr="00980514">
        <w:rPr>
          <w:rFonts w:ascii="Times New Roman" w:eastAsia="SimSun" w:hAnsi="Times New Roman"/>
          <w:sz w:val="22"/>
          <w:szCs w:val="22"/>
        </w:rPr>
        <w:t>for SON/MDT purpose</w:t>
      </w:r>
      <w:r w:rsidRPr="002D45A3">
        <w:rPr>
          <w:rFonts w:ascii="Times New Roman" w:eastAsia="SimSun" w:hAnsi="Times New Roman" w:hint="eastAsia"/>
        </w:rPr>
        <w:t>.</w:t>
      </w:r>
      <w:r>
        <w:t>”, and</w:t>
      </w:r>
    </w:p>
    <w:p w14:paraId="1D89742E" w14:textId="77777777" w:rsidR="009A0E5D" w:rsidRPr="00BA4935" w:rsidRDefault="009A0E5D" w:rsidP="009A0E5D">
      <w:pPr>
        <w:spacing w:before="120" w:line="280" w:lineRule="atLeast"/>
        <w:ind w:left="567" w:firstLine="567"/>
        <w:rPr>
          <w:rFonts w:ascii="Arial" w:eastAsia="SimSun" w:hAnsi="Arial" w:cs="Arial"/>
          <w:lang w:eastAsia="en-US"/>
        </w:rPr>
      </w:pPr>
      <w:r w:rsidRPr="00BA4935">
        <w:rPr>
          <w:rFonts w:ascii="Arial" w:eastAsia="SimSun" w:hAnsi="Arial" w:cs="Arial"/>
        </w:rPr>
        <w:t>- Support of data collection for SON features, including</w:t>
      </w:r>
      <w:r w:rsidRPr="00BA4935">
        <w:rPr>
          <w:rFonts w:ascii="Arial" w:hAnsi="Arial" w:cs="Arial"/>
        </w:rPr>
        <w:t xml:space="preserve">, </w:t>
      </w:r>
      <w:r w:rsidRPr="00BA4935">
        <w:rPr>
          <w:rFonts w:ascii="Arial" w:eastAsia="SimSun" w:hAnsi="Arial" w:cs="Arial"/>
        </w:rPr>
        <w:t>MRO for</w:t>
      </w:r>
      <w:r w:rsidRPr="00BA4935">
        <w:rPr>
          <w:rFonts w:ascii="Arial" w:hAnsi="Arial" w:cs="Arial"/>
        </w:rPr>
        <w:t xml:space="preserve"> </w:t>
      </w:r>
      <w:r w:rsidRPr="00BA4935">
        <w:rPr>
          <w:rFonts w:ascii="Arial" w:eastAsia="SimSun" w:hAnsi="Arial" w:cs="Arial"/>
        </w:rPr>
        <w:t>MR-DC SCG failure scenario</w:t>
      </w:r>
      <w:r w:rsidRPr="00BA4935">
        <w:rPr>
          <w:rFonts w:ascii="Arial" w:hAnsi="Arial" w:cs="Arial"/>
        </w:rPr>
        <w:t xml:space="preserve">, and </w:t>
      </w:r>
      <w:r w:rsidRPr="00BA4935">
        <w:rPr>
          <w:rFonts w:ascii="Arial" w:eastAsia="SimSun" w:hAnsi="Arial" w:cs="Arial"/>
        </w:rPr>
        <w:t>MRO enhancement for inter-system handover voice fallback</w:t>
      </w:r>
      <w:r w:rsidRPr="00BA4935">
        <w:rPr>
          <w:rFonts w:ascii="Arial" w:hAnsi="Arial" w:cs="Arial"/>
        </w:rPr>
        <w:t>,</w:t>
      </w:r>
    </w:p>
    <w:p w14:paraId="3D3AD883" w14:textId="77777777" w:rsidR="009A0E5D" w:rsidRDefault="009A0E5D" w:rsidP="009A0E5D">
      <w:pPr>
        <w:pStyle w:val="BodyText"/>
      </w:pPr>
      <w:r>
        <w:t>The WID allows for the development of MRO enhancement for inter-system handover voice fallback</w:t>
      </w:r>
    </w:p>
    <w:p w14:paraId="1590DE3A" w14:textId="77777777" w:rsidR="009A0E5D" w:rsidRDefault="009A0E5D" w:rsidP="009A0E5D">
      <w:pPr>
        <w:rPr>
          <w:rFonts w:ascii="Arial" w:hAnsi="Arial" w:cs="Arial"/>
        </w:rPr>
      </w:pPr>
      <w:r>
        <w:rPr>
          <w:rFonts w:ascii="Arial" w:hAnsi="Arial" w:cs="Arial"/>
        </w:rPr>
        <w:t xml:space="preserve">In </w:t>
      </w:r>
      <w:r w:rsidRPr="00061607">
        <w:rPr>
          <w:rFonts w:ascii="Arial" w:hAnsi="Arial" w:cs="Arial"/>
        </w:rPr>
        <w:t>RWS-210263</w:t>
      </w:r>
      <w:r>
        <w:rPr>
          <w:rFonts w:ascii="Arial" w:hAnsi="Arial" w:cs="Arial"/>
        </w:rPr>
        <w:t xml:space="preserve"> [], companies indicated that failure reporting of Inter-RAT handover from NR to E-UTRA with the voice fallback purpose should be helpful. In this section, we agree with the proposal and indicate that current fields in RLF report can be re-purposed to solve the problem.</w:t>
      </w:r>
    </w:p>
    <w:p w14:paraId="71AA193B" w14:textId="5E89ECBA" w:rsidR="009A0E5D" w:rsidRDefault="009A0E5D" w:rsidP="009A0E5D">
      <w:pPr>
        <w:rPr>
          <w:rFonts w:ascii="Arial" w:hAnsi="Arial" w:cs="Arial"/>
        </w:rPr>
      </w:pPr>
      <w:r>
        <w:rPr>
          <w:rFonts w:ascii="Arial" w:hAnsi="Arial" w:cs="Arial"/>
        </w:rPr>
        <w:t>From section 5.4.3.5 in TS 38.331-</w:t>
      </w:r>
    </w:p>
    <w:p w14:paraId="2596D52F" w14:textId="77777777" w:rsidR="009A0E5D" w:rsidRPr="00740BCD" w:rsidRDefault="009A0E5D" w:rsidP="009A0E5D">
      <w:pPr>
        <w:pStyle w:val="B1"/>
      </w:pPr>
      <w:r w:rsidRPr="00740BCD">
        <w:t>1&gt;</w:t>
      </w:r>
      <w:r w:rsidRPr="00740BCD">
        <w:tab/>
        <w:t xml:space="preserve">if the UE </w:t>
      </w:r>
      <w:proofErr w:type="gramStart"/>
      <w:r w:rsidRPr="00740BCD">
        <w:t>does not succeed</w:t>
      </w:r>
      <w:proofErr w:type="gramEnd"/>
      <w:r w:rsidRPr="00740BCD">
        <w:t xml:space="preserve"> in establishing the connection to the target radio access technology:</w:t>
      </w:r>
    </w:p>
    <w:p w14:paraId="267D4384" w14:textId="77777777" w:rsidR="009A0E5D" w:rsidRPr="00740BCD" w:rsidRDefault="009A0E5D" w:rsidP="009A0E5D">
      <w:pPr>
        <w:pStyle w:val="B2"/>
      </w:pPr>
      <w:r w:rsidRPr="00740BCD">
        <w:t>2&gt;</w:t>
      </w:r>
      <w:r w:rsidRPr="00740BCD">
        <w:tab/>
        <w:t xml:space="preserve">if the </w:t>
      </w:r>
      <w:proofErr w:type="spellStart"/>
      <w:r w:rsidRPr="00740BCD">
        <w:rPr>
          <w:i/>
        </w:rPr>
        <w:t>targetRAT</w:t>
      </w:r>
      <w:proofErr w:type="spellEnd"/>
      <w:r w:rsidRPr="00740BCD">
        <w:rPr>
          <w:i/>
        </w:rPr>
        <w:t>-Type</w:t>
      </w:r>
      <w:r w:rsidRPr="00740BCD">
        <w:t xml:space="preserve"> in the received </w:t>
      </w:r>
      <w:proofErr w:type="spellStart"/>
      <w:r w:rsidRPr="00740BCD">
        <w:rPr>
          <w:i/>
        </w:rPr>
        <w:t>MobilityFromNRCommand</w:t>
      </w:r>
      <w:proofErr w:type="spellEnd"/>
      <w:r w:rsidRPr="00740BCD">
        <w:t xml:space="preserve"> is set to </w:t>
      </w:r>
      <w:proofErr w:type="spellStart"/>
      <w:proofErr w:type="gramStart"/>
      <w:r w:rsidRPr="00740BCD">
        <w:rPr>
          <w:i/>
        </w:rPr>
        <w:t>eutra</w:t>
      </w:r>
      <w:proofErr w:type="spellEnd"/>
      <w:proofErr w:type="gramEnd"/>
      <w:r w:rsidRPr="00740BCD">
        <w:t xml:space="preserve"> and the UE supports Radio Link Failure Report for Inter-RAT MRO EUTRA:</w:t>
      </w:r>
    </w:p>
    <w:p w14:paraId="2E93F7D2" w14:textId="77777777" w:rsidR="009A0E5D" w:rsidRPr="00740BCD" w:rsidRDefault="009A0E5D" w:rsidP="009A0E5D">
      <w:pPr>
        <w:pStyle w:val="B3"/>
      </w:pPr>
      <w:r w:rsidRPr="00740BCD">
        <w:t>3&gt;</w:t>
      </w:r>
      <w:r w:rsidRPr="00740BCD">
        <w:tab/>
        <w:t xml:space="preserve">store handover failure information in </w:t>
      </w:r>
      <w:proofErr w:type="spellStart"/>
      <w:r w:rsidRPr="00740BCD">
        <w:rPr>
          <w:i/>
        </w:rPr>
        <w:t>VarRLF</w:t>
      </w:r>
      <w:proofErr w:type="spellEnd"/>
      <w:r w:rsidRPr="00740BCD">
        <w:rPr>
          <w:i/>
        </w:rPr>
        <w:t>-Report</w:t>
      </w:r>
      <w:r w:rsidRPr="00740BCD">
        <w:rPr>
          <w:iCs/>
        </w:rPr>
        <w:t xml:space="preserve"> according to 5.3.10.</w:t>
      </w:r>
      <w:proofErr w:type="gramStart"/>
      <w:r w:rsidRPr="00740BCD">
        <w:rPr>
          <w:iCs/>
        </w:rPr>
        <w:t>5;</w:t>
      </w:r>
      <w:proofErr w:type="gramEnd"/>
    </w:p>
    <w:p w14:paraId="7D96F719" w14:textId="77777777" w:rsidR="009A0E5D" w:rsidRPr="00740BCD" w:rsidRDefault="009A0E5D" w:rsidP="009A0E5D">
      <w:pPr>
        <w:pStyle w:val="B2"/>
      </w:pPr>
      <w:r w:rsidRPr="00740BCD">
        <w:t>2&gt;</w:t>
      </w:r>
      <w:r w:rsidRPr="00740BCD">
        <w:tab/>
        <w:t xml:space="preserve">if </w:t>
      </w:r>
      <w:proofErr w:type="spellStart"/>
      <w:r w:rsidRPr="00740BCD">
        <w:rPr>
          <w:i/>
        </w:rPr>
        <w:t>voiceFallbackIndication</w:t>
      </w:r>
      <w:proofErr w:type="spellEnd"/>
      <w:r w:rsidRPr="00740BCD">
        <w:t xml:space="preserve"> is included in the </w:t>
      </w:r>
      <w:proofErr w:type="spellStart"/>
      <w:r w:rsidRPr="00740BCD">
        <w:rPr>
          <w:i/>
        </w:rPr>
        <w:t>MobilityFromNRCommand</w:t>
      </w:r>
      <w:proofErr w:type="spellEnd"/>
      <w:r w:rsidRPr="00740BCD">
        <w:rPr>
          <w:i/>
        </w:rPr>
        <w:t xml:space="preserve"> </w:t>
      </w:r>
      <w:r w:rsidRPr="00740BCD">
        <w:rPr>
          <w:iCs/>
        </w:rPr>
        <w:t>message</w:t>
      </w:r>
      <w:r w:rsidRPr="00740BCD">
        <w:t>:</w:t>
      </w:r>
    </w:p>
    <w:p w14:paraId="239262AF" w14:textId="77777777" w:rsidR="009A0E5D" w:rsidRPr="00740BCD" w:rsidRDefault="009A0E5D" w:rsidP="009A0E5D">
      <w:pPr>
        <w:pStyle w:val="B3"/>
      </w:pPr>
      <w:r w:rsidRPr="00740BCD">
        <w:t>3&gt;</w:t>
      </w:r>
      <w:r w:rsidRPr="00740BCD">
        <w:tab/>
        <w:t>attempt to select an E-UTRA cell:</w:t>
      </w:r>
    </w:p>
    <w:p w14:paraId="41E09CEE" w14:textId="77777777" w:rsidR="009A0E5D" w:rsidRPr="00740BCD" w:rsidRDefault="009A0E5D" w:rsidP="009A0E5D">
      <w:pPr>
        <w:pStyle w:val="B4"/>
      </w:pPr>
      <w:r w:rsidRPr="00740BCD">
        <w:t>4&gt;</w:t>
      </w:r>
      <w:r w:rsidRPr="00740BCD">
        <w:tab/>
        <w:t>if a suitable E-UTRA cell is selected:</w:t>
      </w:r>
    </w:p>
    <w:p w14:paraId="60F129A1" w14:textId="77777777" w:rsidR="009A0E5D" w:rsidRPr="00740BCD" w:rsidRDefault="009A0E5D" w:rsidP="009A0E5D">
      <w:pPr>
        <w:pStyle w:val="B5"/>
        <w:rPr>
          <w:rFonts w:eastAsia="Batang"/>
        </w:rPr>
      </w:pPr>
      <w:r w:rsidRPr="00740BCD">
        <w:t>5&gt;</w:t>
      </w:r>
      <w:r w:rsidRPr="00740BCD">
        <w:tab/>
        <w:t>perform the actions upon going to RRC_IDLE as specified in 5.3.11, with release cause 'RRC connection failure</w:t>
      </w:r>
      <w:proofErr w:type="gramStart"/>
      <w:r w:rsidRPr="00740BCD">
        <w:t>';</w:t>
      </w:r>
      <w:proofErr w:type="gramEnd"/>
    </w:p>
    <w:p w14:paraId="1ED6F728" w14:textId="3D86AA75" w:rsidR="009A0E5D" w:rsidRDefault="009A0E5D" w:rsidP="009A0E5D">
      <w:pPr>
        <w:rPr>
          <w:rFonts w:ascii="Arial" w:hAnsi="Arial" w:cs="Arial"/>
        </w:rPr>
      </w:pPr>
      <w:r>
        <w:rPr>
          <w:rFonts w:ascii="Arial" w:hAnsi="Arial" w:cs="Arial"/>
        </w:rPr>
        <w:t xml:space="preserve">Thus, if inter-RAT handover due to </w:t>
      </w:r>
      <w:proofErr w:type="spellStart"/>
      <w:r>
        <w:rPr>
          <w:rFonts w:ascii="Arial" w:hAnsi="Arial" w:cs="Arial"/>
        </w:rPr>
        <w:t>voicefallback</w:t>
      </w:r>
      <w:proofErr w:type="spellEnd"/>
      <w:r>
        <w:rPr>
          <w:rFonts w:ascii="Arial" w:hAnsi="Arial" w:cs="Arial"/>
        </w:rPr>
        <w:t xml:space="preserve"> reason fails, UE tries to select an LTE cell and goes in RRC IDLE state in the selected LTE cell</w:t>
      </w:r>
      <w:r w:rsidR="009E6521">
        <w:rPr>
          <w:rFonts w:ascii="Arial" w:hAnsi="Arial" w:cs="Arial"/>
        </w:rPr>
        <w:t xml:space="preserve"> if a suitable EUTRA cell is selected</w:t>
      </w:r>
      <w:r>
        <w:rPr>
          <w:rFonts w:ascii="Arial" w:hAnsi="Arial" w:cs="Arial"/>
        </w:rPr>
        <w:t>.</w:t>
      </w:r>
    </w:p>
    <w:p w14:paraId="37D48210" w14:textId="5E05D813" w:rsidR="009A0E5D" w:rsidRDefault="000879B3" w:rsidP="009A0E5D">
      <w:pPr>
        <w:pStyle w:val="Observation"/>
        <w:numPr>
          <w:ilvl w:val="0"/>
          <w:numId w:val="4"/>
        </w:numPr>
        <w:ind w:left="1701" w:hanging="1701"/>
      </w:pPr>
      <w:bookmarkStart w:id="13" w:name="_Toc107842262"/>
      <w:bookmarkStart w:id="14" w:name="_Toc110962886"/>
      <w:r>
        <w:t>If</w:t>
      </w:r>
      <w:r w:rsidR="009A0E5D">
        <w:t xml:space="preserve"> </w:t>
      </w:r>
      <w:r>
        <w:t>the UE selects a suitable E-UTRA</w:t>
      </w:r>
      <w:r w:rsidR="009A0E5D">
        <w:t xml:space="preserve"> after experiencing HOF for a handover performed due to voice fallback reason</w:t>
      </w:r>
      <w:r>
        <w:t>, the UE selects a suitable E-UTRA</w:t>
      </w:r>
      <w:r w:rsidR="00EA0990">
        <w:t xml:space="preserve">, </w:t>
      </w:r>
      <w:r>
        <w:t>the UE</w:t>
      </w:r>
      <w:r w:rsidR="009A0E5D">
        <w:t xml:space="preserve"> doesn’t perform </w:t>
      </w:r>
      <w:r w:rsidR="00F038D2">
        <w:t>a</w:t>
      </w:r>
      <w:r>
        <w:t xml:space="preserve"> </w:t>
      </w:r>
      <w:r w:rsidR="009A0E5D">
        <w:t>re-establishment</w:t>
      </w:r>
      <w:r w:rsidR="009310D5">
        <w:t xml:space="preserve"> procedure</w:t>
      </w:r>
      <w:r w:rsidR="009A0E5D">
        <w:t>.</w:t>
      </w:r>
      <w:bookmarkEnd w:id="13"/>
      <w:bookmarkEnd w:id="14"/>
    </w:p>
    <w:p w14:paraId="6E8E730E" w14:textId="0D1BDF8D" w:rsidR="009A0E5D" w:rsidRDefault="009A0E5D" w:rsidP="009A0E5D">
      <w:pPr>
        <w:rPr>
          <w:rFonts w:ascii="Arial" w:hAnsi="Arial" w:cs="Arial"/>
        </w:rPr>
      </w:pPr>
      <w:r>
        <w:rPr>
          <w:rFonts w:ascii="Arial" w:hAnsi="Arial" w:cs="Arial"/>
        </w:rPr>
        <w:t xml:space="preserve">Hence, the RLF report generated for this handover failure contains source NR cell, target LTE cell information, </w:t>
      </w:r>
      <w:r w:rsidR="00F038D2">
        <w:rPr>
          <w:rFonts w:ascii="Arial" w:hAnsi="Arial" w:cs="Arial"/>
        </w:rPr>
        <w:t xml:space="preserve">but </w:t>
      </w:r>
      <w:r>
        <w:rPr>
          <w:rFonts w:ascii="Arial" w:hAnsi="Arial" w:cs="Arial"/>
        </w:rPr>
        <w:t>no RRC reconnect cell or re-establishment cell is included. For example, in below scenario:</w:t>
      </w:r>
    </w:p>
    <w:p w14:paraId="69E0D8B8" w14:textId="77777777" w:rsidR="009A0E5D" w:rsidRDefault="009A0E5D" w:rsidP="009A0E5D">
      <w:pPr>
        <w:rPr>
          <w:rFonts w:ascii="Arial" w:hAnsi="Arial" w:cs="Arial"/>
        </w:rPr>
      </w:pPr>
      <w:r>
        <w:rPr>
          <w:rFonts w:ascii="Arial" w:hAnsi="Arial" w:cs="Arial"/>
        </w:rPr>
        <w:t>If UE is served by NR cell A and is given handover command to perform inter-RAT handover to LTE cell B. If the handover fails and UE selects another LTE cell C and goes in RRC IDLE state in cell C. The relevant RLF report would contain the below cell identifiers along with other measurement reports-</w:t>
      </w:r>
    </w:p>
    <w:tbl>
      <w:tblPr>
        <w:tblStyle w:val="TableGrid"/>
        <w:tblW w:w="0" w:type="auto"/>
        <w:tblLook w:val="04A0" w:firstRow="1" w:lastRow="0" w:firstColumn="1" w:lastColumn="0" w:noHBand="0" w:noVBand="1"/>
      </w:tblPr>
      <w:tblGrid>
        <w:gridCol w:w="4814"/>
        <w:gridCol w:w="4815"/>
      </w:tblGrid>
      <w:tr w:rsidR="009A0E5D" w14:paraId="7B3A9C7E" w14:textId="77777777" w:rsidTr="001C1FDB">
        <w:tc>
          <w:tcPr>
            <w:tcW w:w="4814" w:type="dxa"/>
          </w:tcPr>
          <w:p w14:paraId="71E6F5C4" w14:textId="77777777" w:rsidR="009A0E5D" w:rsidRDefault="009A0E5D" w:rsidP="001C1FDB">
            <w:pPr>
              <w:rPr>
                <w:rFonts w:ascii="Arial" w:hAnsi="Arial" w:cs="Arial"/>
              </w:rPr>
            </w:pPr>
            <w:r>
              <w:rPr>
                <w:rFonts w:ascii="Arial" w:hAnsi="Arial" w:cs="Arial"/>
              </w:rPr>
              <w:t xml:space="preserve">RLF </w:t>
            </w:r>
            <w:proofErr w:type="spellStart"/>
            <w:r>
              <w:rPr>
                <w:rFonts w:ascii="Arial" w:hAnsi="Arial" w:cs="Arial"/>
              </w:rPr>
              <w:t>report</w:t>
            </w:r>
            <w:proofErr w:type="spellEnd"/>
          </w:p>
        </w:tc>
        <w:tc>
          <w:tcPr>
            <w:tcW w:w="4815" w:type="dxa"/>
          </w:tcPr>
          <w:p w14:paraId="446F41C3" w14:textId="77777777" w:rsidR="009A0E5D" w:rsidRDefault="009A0E5D" w:rsidP="001C1FDB">
            <w:pPr>
              <w:rPr>
                <w:rFonts w:ascii="Arial" w:hAnsi="Arial" w:cs="Arial"/>
              </w:rPr>
            </w:pPr>
            <w:proofErr w:type="spellStart"/>
            <w:r>
              <w:rPr>
                <w:rFonts w:ascii="Arial" w:hAnsi="Arial" w:cs="Arial"/>
              </w:rPr>
              <w:t>Included</w:t>
            </w:r>
            <w:proofErr w:type="spellEnd"/>
            <w:r>
              <w:rPr>
                <w:rFonts w:ascii="Arial" w:hAnsi="Arial" w:cs="Arial"/>
              </w:rPr>
              <w:t xml:space="preserve"> </w:t>
            </w:r>
            <w:proofErr w:type="spellStart"/>
            <w:r>
              <w:rPr>
                <w:rFonts w:ascii="Arial" w:hAnsi="Arial" w:cs="Arial"/>
              </w:rPr>
              <w:t>Cell</w:t>
            </w:r>
            <w:proofErr w:type="spellEnd"/>
          </w:p>
        </w:tc>
      </w:tr>
      <w:tr w:rsidR="009A0E5D" w14:paraId="3FB225D5" w14:textId="77777777" w:rsidTr="001C1FDB">
        <w:tc>
          <w:tcPr>
            <w:tcW w:w="4814" w:type="dxa"/>
          </w:tcPr>
          <w:p w14:paraId="129298FE" w14:textId="77777777" w:rsidR="009A0E5D" w:rsidRDefault="009A0E5D" w:rsidP="001C1FDB">
            <w:pPr>
              <w:rPr>
                <w:rFonts w:ascii="Arial" w:hAnsi="Arial" w:cs="Arial"/>
              </w:rPr>
            </w:pPr>
            <w:r w:rsidRPr="00740BCD">
              <w:t>previousPCellId-r16</w:t>
            </w:r>
          </w:p>
        </w:tc>
        <w:tc>
          <w:tcPr>
            <w:tcW w:w="4815" w:type="dxa"/>
          </w:tcPr>
          <w:p w14:paraId="1D040EA2" w14:textId="77777777" w:rsidR="009A0E5D" w:rsidRDefault="009A0E5D" w:rsidP="001C1FDB">
            <w:pPr>
              <w:rPr>
                <w:rFonts w:ascii="Arial" w:hAnsi="Arial" w:cs="Arial"/>
              </w:rPr>
            </w:pPr>
            <w:r>
              <w:rPr>
                <w:rFonts w:ascii="Arial" w:hAnsi="Arial" w:cs="Arial"/>
              </w:rPr>
              <w:t>A</w:t>
            </w:r>
          </w:p>
        </w:tc>
      </w:tr>
      <w:tr w:rsidR="009A0E5D" w14:paraId="4933176F" w14:textId="77777777" w:rsidTr="001C1FDB">
        <w:tc>
          <w:tcPr>
            <w:tcW w:w="4814" w:type="dxa"/>
          </w:tcPr>
          <w:p w14:paraId="30623312" w14:textId="77777777" w:rsidR="009A0E5D" w:rsidRDefault="009A0E5D" w:rsidP="001C1FDB">
            <w:pPr>
              <w:rPr>
                <w:rFonts w:ascii="Arial" w:hAnsi="Arial" w:cs="Arial"/>
              </w:rPr>
            </w:pPr>
            <w:r w:rsidRPr="00740BCD">
              <w:t>failedPCellId-r16</w:t>
            </w:r>
          </w:p>
        </w:tc>
        <w:tc>
          <w:tcPr>
            <w:tcW w:w="4815" w:type="dxa"/>
          </w:tcPr>
          <w:p w14:paraId="424E1973" w14:textId="77777777" w:rsidR="009A0E5D" w:rsidRDefault="009A0E5D" w:rsidP="001C1FDB">
            <w:pPr>
              <w:rPr>
                <w:rFonts w:ascii="Arial" w:hAnsi="Arial" w:cs="Arial"/>
              </w:rPr>
            </w:pPr>
            <w:r>
              <w:rPr>
                <w:rFonts w:ascii="Arial" w:hAnsi="Arial" w:cs="Arial"/>
              </w:rPr>
              <w:t>B</w:t>
            </w:r>
          </w:p>
        </w:tc>
      </w:tr>
      <w:tr w:rsidR="009A0E5D" w14:paraId="79624CC6" w14:textId="77777777" w:rsidTr="001C1FDB">
        <w:tc>
          <w:tcPr>
            <w:tcW w:w="4814" w:type="dxa"/>
          </w:tcPr>
          <w:p w14:paraId="4816E22D" w14:textId="77777777" w:rsidR="009A0E5D" w:rsidRDefault="009A0E5D" w:rsidP="001C1FDB">
            <w:pPr>
              <w:rPr>
                <w:rFonts w:ascii="Arial" w:hAnsi="Arial" w:cs="Arial"/>
              </w:rPr>
            </w:pPr>
            <w:r w:rsidRPr="00740BCD">
              <w:t xml:space="preserve">reconnectCellId-r16                  </w:t>
            </w:r>
          </w:p>
        </w:tc>
        <w:tc>
          <w:tcPr>
            <w:tcW w:w="4815" w:type="dxa"/>
          </w:tcPr>
          <w:p w14:paraId="30EFC4EC" w14:textId="77777777" w:rsidR="009A0E5D" w:rsidRDefault="009A0E5D" w:rsidP="001C1FDB">
            <w:pPr>
              <w:rPr>
                <w:rFonts w:ascii="Arial" w:hAnsi="Arial" w:cs="Arial"/>
              </w:rPr>
            </w:pPr>
          </w:p>
        </w:tc>
      </w:tr>
      <w:tr w:rsidR="009A0E5D" w14:paraId="5BCB4A01" w14:textId="77777777" w:rsidTr="001C1FDB">
        <w:tc>
          <w:tcPr>
            <w:tcW w:w="4814" w:type="dxa"/>
          </w:tcPr>
          <w:p w14:paraId="4B284D3A" w14:textId="77777777" w:rsidR="009A0E5D" w:rsidRPr="00740BCD" w:rsidRDefault="009A0E5D" w:rsidP="001C1FDB">
            <w:r w:rsidRPr="00740BCD">
              <w:t xml:space="preserve">reestablishmentCellId-r16 </w:t>
            </w:r>
          </w:p>
        </w:tc>
        <w:tc>
          <w:tcPr>
            <w:tcW w:w="4815" w:type="dxa"/>
          </w:tcPr>
          <w:p w14:paraId="6427894D" w14:textId="77777777" w:rsidR="009A0E5D" w:rsidRDefault="009A0E5D" w:rsidP="001C1FDB">
            <w:pPr>
              <w:rPr>
                <w:rFonts w:ascii="Arial" w:hAnsi="Arial" w:cs="Arial"/>
              </w:rPr>
            </w:pPr>
          </w:p>
        </w:tc>
      </w:tr>
    </w:tbl>
    <w:p w14:paraId="20E2EBF2" w14:textId="77777777" w:rsidR="009A0E5D" w:rsidRDefault="009A0E5D" w:rsidP="009A0E5D">
      <w:pPr>
        <w:rPr>
          <w:rFonts w:ascii="Arial" w:hAnsi="Arial" w:cs="Arial"/>
        </w:rPr>
      </w:pPr>
    </w:p>
    <w:p w14:paraId="3C8265C0" w14:textId="26DE4D87" w:rsidR="009A0E5D" w:rsidRDefault="009A0E5D" w:rsidP="009A0E5D">
      <w:pPr>
        <w:rPr>
          <w:rFonts w:ascii="Arial" w:hAnsi="Arial" w:cs="Arial"/>
        </w:rPr>
      </w:pPr>
      <w:r>
        <w:rPr>
          <w:rFonts w:ascii="Arial" w:hAnsi="Arial" w:cs="Arial"/>
        </w:rPr>
        <w:t>Since the UE doesn’t perform cell re-establishment to cell C, information about cell C is not included.</w:t>
      </w:r>
    </w:p>
    <w:p w14:paraId="7186517C" w14:textId="14C01DDC" w:rsidR="009A0E5D" w:rsidRDefault="009A0E5D" w:rsidP="009A0E5D">
      <w:pPr>
        <w:rPr>
          <w:rFonts w:ascii="Arial" w:hAnsi="Arial" w:cs="Arial"/>
        </w:rPr>
      </w:pPr>
      <w:r>
        <w:rPr>
          <w:rFonts w:ascii="Arial" w:hAnsi="Arial" w:cs="Arial"/>
        </w:rPr>
        <w:t xml:space="preserve">Thus, if cell C information is included as </w:t>
      </w:r>
      <w:r w:rsidRPr="00740BCD">
        <w:t>reestablishmentCellId-r16</w:t>
      </w:r>
      <w:r>
        <w:t xml:space="preserve"> </w:t>
      </w:r>
      <w:r>
        <w:rPr>
          <w:rFonts w:ascii="Arial" w:hAnsi="Arial" w:cs="Arial"/>
        </w:rPr>
        <w:t>in the RLF report, it can be implicitly understood by the network that the intended handover was for inter-system voice fallback reason</w:t>
      </w:r>
      <w:r w:rsidR="00CA5B4A">
        <w:rPr>
          <w:rFonts w:ascii="Arial" w:hAnsi="Arial" w:cs="Arial"/>
        </w:rPr>
        <w:t xml:space="preserve"> (given that re-establishment cell ID will be logged with an LTE cell ID)</w:t>
      </w:r>
      <w:r>
        <w:rPr>
          <w:rFonts w:ascii="Arial" w:hAnsi="Arial" w:cs="Arial"/>
        </w:rPr>
        <w:t>.</w:t>
      </w:r>
      <w:r w:rsidR="002F4EEE">
        <w:rPr>
          <w:rFonts w:ascii="Arial" w:hAnsi="Arial" w:cs="Arial"/>
        </w:rPr>
        <w:t xml:space="preserve"> In addition</w:t>
      </w:r>
      <w:r w:rsidR="00C558CF">
        <w:rPr>
          <w:rFonts w:ascii="Arial" w:hAnsi="Arial" w:cs="Arial"/>
        </w:rPr>
        <w:t>,</w:t>
      </w:r>
      <w:r w:rsidR="002F4EEE">
        <w:rPr>
          <w:rFonts w:ascii="Arial" w:hAnsi="Arial" w:cs="Arial"/>
        </w:rPr>
        <w:t xml:space="preserve"> the network node can use this </w:t>
      </w:r>
      <w:r w:rsidR="00AF4F44">
        <w:rPr>
          <w:rFonts w:ascii="Arial" w:hAnsi="Arial" w:cs="Arial"/>
        </w:rPr>
        <w:t xml:space="preserve">LTE cell ID to </w:t>
      </w:r>
      <w:r w:rsidR="00F94FCE">
        <w:rPr>
          <w:rFonts w:ascii="Arial" w:hAnsi="Arial" w:cs="Arial"/>
        </w:rPr>
        <w:t xml:space="preserve">select the </w:t>
      </w:r>
      <w:r w:rsidR="000615E1">
        <w:rPr>
          <w:rFonts w:ascii="Arial" w:hAnsi="Arial" w:cs="Arial"/>
        </w:rPr>
        <w:t xml:space="preserve">target cell more properly for the next </w:t>
      </w:r>
      <w:proofErr w:type="spellStart"/>
      <w:r w:rsidR="000615E1" w:rsidRPr="007C52EE">
        <w:rPr>
          <w:rFonts w:ascii="Arial" w:hAnsi="Arial" w:cs="Arial"/>
          <w:i/>
          <w:iCs/>
        </w:rPr>
        <w:t>mobility</w:t>
      </w:r>
      <w:r w:rsidR="00090052" w:rsidRPr="007C52EE">
        <w:rPr>
          <w:rFonts w:ascii="Arial" w:hAnsi="Arial" w:cs="Arial"/>
          <w:i/>
          <w:iCs/>
        </w:rPr>
        <w:t>F</w:t>
      </w:r>
      <w:r w:rsidR="000615E1" w:rsidRPr="007C52EE">
        <w:rPr>
          <w:rFonts w:ascii="Arial" w:hAnsi="Arial" w:cs="Arial"/>
          <w:i/>
          <w:iCs/>
        </w:rPr>
        <w:t>romNR</w:t>
      </w:r>
      <w:proofErr w:type="spellEnd"/>
      <w:r w:rsidR="00090052">
        <w:rPr>
          <w:rFonts w:ascii="Arial" w:hAnsi="Arial" w:cs="Arial"/>
        </w:rPr>
        <w:t xml:space="preserve"> operation</w:t>
      </w:r>
      <w:r w:rsidR="003C2F33">
        <w:rPr>
          <w:rFonts w:ascii="Arial" w:hAnsi="Arial" w:cs="Arial"/>
        </w:rPr>
        <w:t xml:space="preserve"> i.e., this </w:t>
      </w:r>
      <w:r w:rsidR="004B71DE">
        <w:rPr>
          <w:rFonts w:ascii="Arial" w:hAnsi="Arial" w:cs="Arial"/>
        </w:rPr>
        <w:t xml:space="preserve">suitable EUTRA cell can be chosen as target cell of a </w:t>
      </w:r>
      <w:proofErr w:type="spellStart"/>
      <w:r w:rsidR="004B71DE" w:rsidRPr="007C52EE">
        <w:rPr>
          <w:rFonts w:ascii="Arial" w:hAnsi="Arial" w:cs="Arial"/>
          <w:i/>
          <w:iCs/>
        </w:rPr>
        <w:t>MobilityFromNR</w:t>
      </w:r>
      <w:proofErr w:type="spellEnd"/>
      <w:r w:rsidR="001539D9">
        <w:rPr>
          <w:rFonts w:ascii="Arial" w:hAnsi="Arial" w:cs="Arial"/>
        </w:rPr>
        <w:t>.</w:t>
      </w:r>
    </w:p>
    <w:p w14:paraId="484380B9" w14:textId="77777777" w:rsidR="005862EB" w:rsidRPr="00651356" w:rsidRDefault="005862EB" w:rsidP="005862EB">
      <w:pPr>
        <w:pStyle w:val="Observation"/>
        <w:numPr>
          <w:ilvl w:val="0"/>
          <w:numId w:val="4"/>
        </w:numPr>
        <w:ind w:left="1701" w:hanging="1701"/>
      </w:pPr>
      <w:bookmarkStart w:id="15" w:name="_Toc110962887"/>
      <w:r w:rsidRPr="00651356">
        <w:t xml:space="preserve">It would be beneficial to log the suitable LTE cell as part of </w:t>
      </w:r>
      <w:proofErr w:type="spellStart"/>
      <w:r w:rsidRPr="00A81029">
        <w:rPr>
          <w:i/>
          <w:iCs/>
        </w:rPr>
        <w:t>voiceFallBack</w:t>
      </w:r>
      <w:proofErr w:type="spellEnd"/>
      <w:r w:rsidRPr="00651356">
        <w:t xml:space="preserve"> procedure, so the network can optimize the next handovers with a better LTE target cell.</w:t>
      </w:r>
      <w:bookmarkEnd w:id="15"/>
      <w:r w:rsidRPr="00651356">
        <w:t xml:space="preserve"> </w:t>
      </w:r>
    </w:p>
    <w:p w14:paraId="60AE1E82" w14:textId="03086AC4" w:rsidR="005862EB" w:rsidRDefault="005862EB" w:rsidP="005862EB">
      <w:pPr>
        <w:pStyle w:val="Proposal"/>
        <w:tabs>
          <w:tab w:val="clear" w:pos="1304"/>
        </w:tabs>
      </w:pPr>
      <w:bookmarkStart w:id="16" w:name="_Toc107842263"/>
      <w:bookmarkStart w:id="17" w:name="_Toc110963454"/>
      <w:r>
        <w:t xml:space="preserve">The </w:t>
      </w:r>
      <w:r w:rsidR="007930B8">
        <w:t xml:space="preserve">suitable </w:t>
      </w:r>
      <w:r>
        <w:t xml:space="preserve">LTE cell that UE selects after HOF </w:t>
      </w:r>
      <w:r w:rsidR="00A83B39">
        <w:t>due to</w:t>
      </w:r>
      <w:r w:rsidR="00B374B1">
        <w:t xml:space="preserve"> </w:t>
      </w:r>
      <w:proofErr w:type="spellStart"/>
      <w:r w:rsidR="00B374B1">
        <w:t>voiceFallback</w:t>
      </w:r>
      <w:proofErr w:type="spellEnd"/>
      <w:r w:rsidR="00B374B1">
        <w:t xml:space="preserve"> </w:t>
      </w:r>
      <w:r>
        <w:t xml:space="preserve">can be included as </w:t>
      </w:r>
      <w:proofErr w:type="spellStart"/>
      <w:r w:rsidRPr="00864BE0">
        <w:rPr>
          <w:i/>
        </w:rPr>
        <w:t>reestablishementCellId</w:t>
      </w:r>
      <w:proofErr w:type="spellEnd"/>
      <w:r>
        <w:t xml:space="preserve"> in the RLF report</w:t>
      </w:r>
      <w:bookmarkEnd w:id="16"/>
      <w:r>
        <w:t>.</w:t>
      </w:r>
      <w:bookmarkEnd w:id="17"/>
    </w:p>
    <w:p w14:paraId="02AC8DEE" w14:textId="4F864E03" w:rsidR="00602FD2" w:rsidRDefault="00602FD2" w:rsidP="009A0E5D">
      <w:pPr>
        <w:rPr>
          <w:rFonts w:ascii="Arial" w:hAnsi="Arial" w:cs="Arial"/>
        </w:rPr>
      </w:pPr>
      <w:r>
        <w:rPr>
          <w:rFonts w:ascii="Arial" w:hAnsi="Arial" w:cs="Arial"/>
        </w:rPr>
        <w:t>In addition</w:t>
      </w:r>
      <w:r w:rsidR="005862EB">
        <w:rPr>
          <w:rFonts w:ascii="Arial" w:hAnsi="Arial" w:cs="Arial"/>
        </w:rPr>
        <w:t>,</w:t>
      </w:r>
      <w:r>
        <w:rPr>
          <w:rFonts w:ascii="Arial" w:hAnsi="Arial" w:cs="Arial"/>
        </w:rPr>
        <w:t xml:space="preserve"> if the UE </w:t>
      </w:r>
      <w:r w:rsidR="005862EB">
        <w:rPr>
          <w:rFonts w:ascii="Arial" w:hAnsi="Arial" w:cs="Arial"/>
        </w:rPr>
        <w:t>comes to connected state</w:t>
      </w:r>
      <w:r w:rsidR="00910482">
        <w:rPr>
          <w:rFonts w:ascii="Arial" w:hAnsi="Arial" w:cs="Arial"/>
        </w:rPr>
        <w:t xml:space="preserve"> as paged for an incoming MTSI (voice) service</w:t>
      </w:r>
      <w:r w:rsidR="005862EB">
        <w:rPr>
          <w:rFonts w:ascii="Arial" w:hAnsi="Arial" w:cs="Arial"/>
        </w:rPr>
        <w:t xml:space="preserve"> and then the network decides to perform </w:t>
      </w:r>
      <w:proofErr w:type="spellStart"/>
      <w:r w:rsidR="005862EB">
        <w:rPr>
          <w:rFonts w:ascii="Arial" w:hAnsi="Arial" w:cs="Arial"/>
        </w:rPr>
        <w:t>MobilityFromNR</w:t>
      </w:r>
      <w:proofErr w:type="spellEnd"/>
      <w:r w:rsidR="005862EB">
        <w:rPr>
          <w:rFonts w:ascii="Arial" w:hAnsi="Arial" w:cs="Arial"/>
        </w:rPr>
        <w:t xml:space="preserve"> with </w:t>
      </w:r>
      <w:proofErr w:type="spellStart"/>
      <w:r w:rsidR="005862EB">
        <w:rPr>
          <w:rFonts w:ascii="Arial" w:hAnsi="Arial" w:cs="Arial"/>
        </w:rPr>
        <w:t>voicefallback</w:t>
      </w:r>
      <w:proofErr w:type="spellEnd"/>
      <w:r w:rsidR="005862EB">
        <w:rPr>
          <w:rFonts w:ascii="Arial" w:hAnsi="Arial" w:cs="Arial"/>
        </w:rPr>
        <w:t xml:space="preserve"> indication for the UE without </w:t>
      </w:r>
      <w:r w:rsidR="002D728F">
        <w:rPr>
          <w:rFonts w:ascii="Arial" w:hAnsi="Arial" w:cs="Arial"/>
        </w:rPr>
        <w:t xml:space="preserve">performing </w:t>
      </w:r>
      <w:r w:rsidR="003836D9">
        <w:rPr>
          <w:rFonts w:ascii="Arial" w:hAnsi="Arial" w:cs="Arial"/>
        </w:rPr>
        <w:t xml:space="preserve">enough RRM </w:t>
      </w:r>
      <w:r w:rsidR="002D728F">
        <w:rPr>
          <w:rFonts w:ascii="Arial" w:hAnsi="Arial" w:cs="Arial"/>
        </w:rPr>
        <w:t xml:space="preserve">measurements, it might be beneficial that UE includes additional measurements in the RLF report, so the network node could configure the next </w:t>
      </w:r>
      <w:proofErr w:type="spellStart"/>
      <w:r w:rsidR="002D728F">
        <w:rPr>
          <w:rFonts w:ascii="Arial" w:hAnsi="Arial" w:cs="Arial"/>
        </w:rPr>
        <w:t>mobilityFromNR</w:t>
      </w:r>
      <w:proofErr w:type="spellEnd"/>
      <w:r w:rsidR="002D728F">
        <w:rPr>
          <w:rFonts w:ascii="Arial" w:hAnsi="Arial" w:cs="Arial"/>
        </w:rPr>
        <w:t xml:space="preserve"> commands more properly based on the measurement results provided by the UE as part of RLF report.</w:t>
      </w:r>
    </w:p>
    <w:p w14:paraId="4BF4487F" w14:textId="1169D30E" w:rsidR="00265FC2" w:rsidRDefault="00341EE0" w:rsidP="00265FC2">
      <w:pPr>
        <w:pStyle w:val="Observation"/>
        <w:numPr>
          <w:ilvl w:val="0"/>
          <w:numId w:val="4"/>
        </w:numPr>
        <w:ind w:left="1701" w:hanging="1701"/>
      </w:pPr>
      <w:bookmarkStart w:id="18" w:name="_Toc110962888"/>
      <w:r w:rsidRPr="00265FC2">
        <w:t xml:space="preserve">If network </w:t>
      </w:r>
      <w:r w:rsidR="00B52AD4" w:rsidRPr="00265FC2">
        <w:t>perfo</w:t>
      </w:r>
      <w:r w:rsidR="006C7D47" w:rsidRPr="00265FC2">
        <w:t>r</w:t>
      </w:r>
      <w:r w:rsidR="00B52AD4" w:rsidRPr="00265FC2">
        <w:t xml:space="preserve">ms </w:t>
      </w:r>
      <w:proofErr w:type="spellStart"/>
      <w:r w:rsidR="00540902" w:rsidRPr="00265FC2">
        <w:t>MobilityFromNR</w:t>
      </w:r>
      <w:proofErr w:type="spellEnd"/>
      <w:r w:rsidR="00540902" w:rsidRPr="00265FC2">
        <w:t xml:space="preserve"> with </w:t>
      </w:r>
      <w:proofErr w:type="spellStart"/>
      <w:r w:rsidR="00540902" w:rsidRPr="00265FC2">
        <w:t>voicefallback</w:t>
      </w:r>
      <w:proofErr w:type="spellEnd"/>
      <w:r w:rsidR="00540902" w:rsidRPr="00265FC2">
        <w:t xml:space="preserve"> indication for a UE that just arrived </w:t>
      </w:r>
      <w:proofErr w:type="gramStart"/>
      <w:r w:rsidR="00540902" w:rsidRPr="00265FC2">
        <w:t>to</w:t>
      </w:r>
      <w:proofErr w:type="gramEnd"/>
      <w:r w:rsidR="00540902" w:rsidRPr="00265FC2">
        <w:t xml:space="preserve"> the connected state</w:t>
      </w:r>
      <w:r w:rsidR="003C4268" w:rsidRPr="00265FC2">
        <w:t>, the network may not have enough time to configure the UE with RRM measurements</w:t>
      </w:r>
      <w:r w:rsidR="00726AB9" w:rsidRPr="00265FC2">
        <w:t xml:space="preserve">, hence providing additional measurements </w:t>
      </w:r>
      <w:r w:rsidR="00B343FB" w:rsidRPr="00265FC2">
        <w:t xml:space="preserve">when the UE </w:t>
      </w:r>
      <w:r w:rsidR="00060F76" w:rsidRPr="00265FC2">
        <w:t xml:space="preserve">fails in </w:t>
      </w:r>
      <w:proofErr w:type="spellStart"/>
      <w:r w:rsidR="00060F76" w:rsidRPr="00265FC2">
        <w:t>Mobility</w:t>
      </w:r>
      <w:r w:rsidR="00265FC2" w:rsidRPr="00265FC2">
        <w:t>FromNR</w:t>
      </w:r>
      <w:proofErr w:type="spellEnd"/>
      <w:r w:rsidR="00265FC2" w:rsidRPr="00265FC2">
        <w:t xml:space="preserve"> would be beneficial for the next HOs optimization</w:t>
      </w:r>
      <w:r w:rsidR="009B31EE">
        <w:t>.</w:t>
      </w:r>
      <w:bookmarkEnd w:id="18"/>
    </w:p>
    <w:p w14:paraId="5D03FD56" w14:textId="77777777" w:rsidR="009B31EE" w:rsidRDefault="009B31EE" w:rsidP="009B31EE">
      <w:pPr>
        <w:pStyle w:val="Observation"/>
        <w:numPr>
          <w:ilvl w:val="0"/>
          <w:numId w:val="0"/>
        </w:numPr>
        <w:ind w:left="1588" w:hanging="1588"/>
      </w:pPr>
    </w:p>
    <w:p w14:paraId="1781B8E0" w14:textId="77777777" w:rsidR="009B31EE" w:rsidRPr="009B31EE" w:rsidRDefault="009B31EE" w:rsidP="009B31EE">
      <w:pPr>
        <w:pStyle w:val="Proposal"/>
        <w:tabs>
          <w:tab w:val="clear" w:pos="1304"/>
        </w:tabs>
      </w:pPr>
      <w:bookmarkStart w:id="19" w:name="_Toc110963455"/>
      <w:r w:rsidRPr="009B31EE">
        <w:t>RAN2 study the scenario in which the UE fails in HO with voice fall back right upon coming to connected mode.</w:t>
      </w:r>
      <w:bookmarkEnd w:id="19"/>
    </w:p>
    <w:p w14:paraId="4CD389C5" w14:textId="12E3FBC6" w:rsidR="0008345C" w:rsidRPr="00265FC2" w:rsidRDefault="0008345C" w:rsidP="0008345C">
      <w:pPr>
        <w:pStyle w:val="Observation"/>
        <w:numPr>
          <w:ilvl w:val="0"/>
          <w:numId w:val="0"/>
        </w:numPr>
      </w:pPr>
    </w:p>
    <w:p w14:paraId="52990822" w14:textId="2DBDF257" w:rsidR="001F1F15" w:rsidRDefault="001F1F15" w:rsidP="001F1F15">
      <w:pPr>
        <w:pStyle w:val="Heading1"/>
        <w:ind w:left="0" w:firstLine="0"/>
      </w:pPr>
      <w:r>
        <w:t xml:space="preserve">5 </w:t>
      </w:r>
      <w:r>
        <w:tab/>
      </w:r>
      <w:r w:rsidR="004043FB">
        <w:t>Inter-RAT SHR</w:t>
      </w:r>
    </w:p>
    <w:p w14:paraId="53D9E38E" w14:textId="77777777" w:rsidR="001F1F15" w:rsidRDefault="001F1F15" w:rsidP="001F1F15">
      <w:pPr>
        <w:pStyle w:val="BodyText"/>
      </w:pPr>
      <w:r>
        <w:t>SHR for Inter-RAT handover from and to NR is one means to assess the cell’s handover parameters, in addition to reports on failures (</w:t>
      </w:r>
      <w:proofErr w:type="gramStart"/>
      <w:r>
        <w:t>e.g.</w:t>
      </w:r>
      <w:proofErr w:type="gramEnd"/>
      <w:r>
        <w:t xml:space="preserve"> Radio Link Failure report, Handover Failure report.) </w:t>
      </w:r>
    </w:p>
    <w:p w14:paraId="68FBAB4E" w14:textId="77777777" w:rsidR="001F1F15" w:rsidRPr="00980514" w:rsidRDefault="001F1F15" w:rsidP="001F1F15">
      <w:pPr>
        <w:pStyle w:val="BodyText"/>
        <w:rPr>
          <w:i/>
          <w:iCs/>
        </w:rPr>
      </w:pPr>
      <w:r>
        <w:t xml:space="preserve">The Rel-18 SON WID </w:t>
      </w:r>
      <w:r w:rsidRPr="00980514">
        <w:rPr>
          <w:i/>
          <w:iCs/>
        </w:rPr>
        <w:t xml:space="preserve">New WID on further enhancement of data collection for SON (Self-Organising Networks)/MDT (Minimization of Drive Tests) in NR standalone and MR-DC (Multi-Radio Dual Connectivity) [1] </w:t>
      </w:r>
      <w:r w:rsidRPr="00980514">
        <w:t>says:</w:t>
      </w:r>
    </w:p>
    <w:p w14:paraId="19E7BEAF" w14:textId="77777777" w:rsidR="001F1F15" w:rsidRDefault="001F1F15" w:rsidP="001F1F15">
      <w:pPr>
        <w:pStyle w:val="BodyText"/>
        <w:ind w:left="567"/>
      </w:pPr>
      <w:r>
        <w:t>“</w:t>
      </w:r>
      <w:r w:rsidRPr="00980514">
        <w:rPr>
          <w:rFonts w:ascii="Times New Roman" w:eastAsia="SimSun" w:hAnsi="Times New Roman"/>
          <w:sz w:val="22"/>
          <w:szCs w:val="22"/>
        </w:rPr>
        <w:t xml:space="preserve">The objective of this work item is to specify </w:t>
      </w:r>
      <w:r w:rsidRPr="00980514">
        <w:rPr>
          <w:rFonts w:ascii="Times New Roman" w:eastAsia="SimSun" w:hAnsi="Times New Roman" w:hint="eastAsia"/>
          <w:sz w:val="22"/>
          <w:szCs w:val="22"/>
        </w:rPr>
        <w:t xml:space="preserve">data collection enhancement in NR </w:t>
      </w:r>
      <w:r w:rsidRPr="00980514">
        <w:rPr>
          <w:rFonts w:ascii="Times New Roman" w:eastAsia="SimSun" w:hAnsi="Times New Roman"/>
          <w:sz w:val="22"/>
          <w:szCs w:val="22"/>
        </w:rPr>
        <w:t>for SON/MDT purpose</w:t>
      </w:r>
      <w:r w:rsidRPr="002D45A3">
        <w:rPr>
          <w:rFonts w:ascii="Times New Roman" w:eastAsia="SimSun" w:hAnsi="Times New Roman" w:hint="eastAsia"/>
        </w:rPr>
        <w:t>.</w:t>
      </w:r>
      <w:r>
        <w:t>”, and</w:t>
      </w:r>
    </w:p>
    <w:p w14:paraId="6A8AEFE7" w14:textId="77777777" w:rsidR="001F1F15" w:rsidRPr="00980514" w:rsidRDefault="001F1F15" w:rsidP="001F1F15">
      <w:pPr>
        <w:spacing w:before="120" w:line="280" w:lineRule="atLeast"/>
        <w:ind w:left="567"/>
        <w:rPr>
          <w:rFonts w:eastAsia="SimSun"/>
          <w:sz w:val="22"/>
          <w:szCs w:val="22"/>
        </w:rPr>
      </w:pPr>
      <w:r w:rsidRPr="003C41C3">
        <w:rPr>
          <w:rFonts w:ascii="Arial" w:hAnsi="Arial" w:cs="Arial"/>
        </w:rPr>
        <w:t>“</w:t>
      </w:r>
      <w:r w:rsidRPr="00980514">
        <w:rPr>
          <w:rFonts w:eastAsia="SimSun" w:hint="eastAsia"/>
          <w:sz w:val="22"/>
          <w:szCs w:val="22"/>
        </w:rPr>
        <w:t xml:space="preserve">- </w:t>
      </w:r>
      <w:r w:rsidRPr="00980514">
        <w:rPr>
          <w:rFonts w:eastAsia="SimSun"/>
          <w:sz w:val="22"/>
          <w:szCs w:val="22"/>
        </w:rPr>
        <w:t>Support of SON/MDT enhancements for [RAN3, RAN2]:</w:t>
      </w:r>
    </w:p>
    <w:p w14:paraId="6F2250D3" w14:textId="77777777" w:rsidR="001F1F15" w:rsidRPr="00980514" w:rsidRDefault="001F1F15" w:rsidP="001F1F15">
      <w:pPr>
        <w:pStyle w:val="ListParagraph"/>
        <w:numPr>
          <w:ilvl w:val="0"/>
          <w:numId w:val="17"/>
        </w:numPr>
        <w:overflowPunct/>
        <w:autoSpaceDE/>
        <w:autoSpaceDN/>
        <w:adjustRightInd/>
        <w:spacing w:before="120" w:after="160" w:line="280" w:lineRule="atLeast"/>
        <w:ind w:left="1287"/>
        <w:contextualSpacing/>
        <w:textAlignment w:val="auto"/>
        <w:rPr>
          <w:rFonts w:ascii="Times New Roman" w:eastAsia="SimSun" w:hAnsi="Times New Roman"/>
        </w:rPr>
      </w:pPr>
      <w:r>
        <w:rPr>
          <w:rFonts w:ascii="Times New Roman" w:eastAsia="SimSun" w:hAnsi="Times New Roman"/>
          <w:lang w:val="en-US"/>
        </w:rPr>
        <w:t>…</w:t>
      </w:r>
    </w:p>
    <w:p w14:paraId="12839BAD" w14:textId="77777777" w:rsidR="001F1F15" w:rsidRPr="00980514" w:rsidRDefault="001F1F15" w:rsidP="001F1F15">
      <w:pPr>
        <w:pStyle w:val="ListParagraph"/>
        <w:numPr>
          <w:ilvl w:val="0"/>
          <w:numId w:val="17"/>
        </w:numPr>
        <w:overflowPunct/>
        <w:autoSpaceDE/>
        <w:autoSpaceDN/>
        <w:adjustRightInd/>
        <w:spacing w:before="120" w:after="160" w:line="280" w:lineRule="atLeast"/>
        <w:ind w:left="1287"/>
        <w:contextualSpacing/>
        <w:textAlignment w:val="auto"/>
        <w:rPr>
          <w:rFonts w:ascii="Times New Roman" w:eastAsia="SimSun" w:hAnsi="Times New Roman"/>
        </w:rPr>
      </w:pPr>
      <w:r w:rsidRPr="00980514">
        <w:rPr>
          <w:rFonts w:ascii="Times New Roman" w:hAnsi="Times New Roman" w:hint="eastAsia"/>
        </w:rPr>
        <w:t>Successful Handover Report (e.g. inter-RAT)</w:t>
      </w:r>
      <w:r w:rsidRPr="003C41C3">
        <w:rPr>
          <w:rFonts w:ascii="Arial" w:hAnsi="Arial" w:cs="Arial"/>
          <w:sz w:val="20"/>
          <w:szCs w:val="20"/>
        </w:rPr>
        <w:t>”</w:t>
      </w:r>
    </w:p>
    <w:p w14:paraId="5DF7FA69" w14:textId="77777777" w:rsidR="001F1F15" w:rsidRDefault="001F1F15" w:rsidP="001F1F15">
      <w:pPr>
        <w:pStyle w:val="BodyText"/>
      </w:pPr>
      <w:r>
        <w:t>The WID allows for the development of Inter-RAT SHR for the improvement of NR, but not for the improvement of E-UTRA.</w:t>
      </w:r>
    </w:p>
    <w:p w14:paraId="0D4E81B0" w14:textId="77777777" w:rsidR="001F1F15" w:rsidRDefault="001F1F15" w:rsidP="001F1F15">
      <w:pPr>
        <w:pStyle w:val="Observation"/>
        <w:numPr>
          <w:ilvl w:val="0"/>
          <w:numId w:val="4"/>
        </w:numPr>
        <w:tabs>
          <w:tab w:val="num" w:pos="360"/>
        </w:tabs>
        <w:ind w:left="360" w:hanging="360"/>
        <w:jc w:val="left"/>
      </w:pPr>
      <w:bookmarkStart w:id="20" w:name="_Toc110962889"/>
      <w:r>
        <w:t>The WID allows for the development of Inter-RAT SHR for the improvement of NR, but not for the improvement of E-UTRA.</w:t>
      </w:r>
      <w:bookmarkEnd w:id="20"/>
    </w:p>
    <w:p w14:paraId="17D1F3DD" w14:textId="77777777" w:rsidR="001F1F15" w:rsidRDefault="001F1F15" w:rsidP="001F1F15">
      <w:pPr>
        <w:pStyle w:val="BodyText"/>
      </w:pPr>
    </w:p>
    <w:p w14:paraId="6C851E3A" w14:textId="77777777" w:rsidR="001F1F15" w:rsidRDefault="001F1F15" w:rsidP="001F1F15">
      <w:pPr>
        <w:pStyle w:val="BodyText"/>
      </w:pPr>
      <w:r>
        <w:t>SHR is triggered based on three timers, T304, T310 and T312, see TS 38.331 clause 5.7.10.6 [2]. Triggering is done if a timer has reached a threshold of the full timer value. Also, the value of timer T304 is determined by the target cell, while timers T310 and T312 are determined by the source cell. This is important in the following use cases.</w:t>
      </w:r>
    </w:p>
    <w:p w14:paraId="49E59912" w14:textId="77777777" w:rsidR="001F1F15" w:rsidRDefault="001F1F15" w:rsidP="001F1F15">
      <w:pPr>
        <w:pStyle w:val="BodyText"/>
      </w:pPr>
      <w:r>
        <w:t>For Inter-RAT SHR, we see the following use cases:</w:t>
      </w:r>
    </w:p>
    <w:p w14:paraId="082E2714" w14:textId="77777777" w:rsidR="001F1F15" w:rsidRDefault="001F1F15" w:rsidP="001F1F15">
      <w:pPr>
        <w:pStyle w:val="BodyText"/>
      </w:pPr>
      <w:r w:rsidRPr="000332F2">
        <w:rPr>
          <w:u w:val="single"/>
        </w:rPr>
        <w:t>Handover from NR to E-UTRA</w:t>
      </w:r>
      <w:r>
        <w:t>: For IRAT handover from NR to E-UTRA, we see the need for having the ability to create a SHR. As the target cell is an E-UTRA cell, there is no (NR) T304 timer available. Therefore, only timers T310 and T312 can be used in this case.</w:t>
      </w:r>
    </w:p>
    <w:p w14:paraId="6D9DCE14" w14:textId="77777777" w:rsidR="001F1F15" w:rsidRDefault="001F1F15" w:rsidP="001F1F15">
      <w:pPr>
        <w:pStyle w:val="BodyText"/>
      </w:pPr>
    </w:p>
    <w:p w14:paraId="59F7CEB9" w14:textId="77777777" w:rsidR="001F1F15" w:rsidRDefault="001F1F15" w:rsidP="001F1F15">
      <w:pPr>
        <w:pStyle w:val="BodyText"/>
      </w:pPr>
      <w:r w:rsidRPr="000332F2">
        <w:rPr>
          <w:u w:val="single"/>
          <w:lang w:val="en-US"/>
        </w:rPr>
        <w:t>Handover from E-UTRA to NR</w:t>
      </w:r>
      <w:r>
        <w:rPr>
          <w:lang w:val="en-US"/>
        </w:rPr>
        <w:t xml:space="preserve">: </w:t>
      </w:r>
      <w:r>
        <w:t>For IRAT handover from E-UTRA to NR, we see the need for having the ability to create a SHR. As the source cell is an E-UTRA cell, there are no (NR) T310 or T312 timers available. Therefore, only timer T304 can be used in this case.</w:t>
      </w:r>
    </w:p>
    <w:p w14:paraId="12C279FC" w14:textId="77777777" w:rsidR="001F1F15" w:rsidRPr="003C41C3" w:rsidRDefault="001F1F15" w:rsidP="001F1F15">
      <w:pPr>
        <w:pStyle w:val="BodyText"/>
      </w:pPr>
    </w:p>
    <w:p w14:paraId="49CE65CE" w14:textId="77777777" w:rsidR="001F1F15" w:rsidRDefault="001F1F15" w:rsidP="001F1F15">
      <w:pPr>
        <w:pStyle w:val="BodyText"/>
      </w:pPr>
      <w:r>
        <w:t>This means that both handovers from NR to E-UTRA and handovers from E-UTRA to NR can generate SHRs, however with limited triggering support compared to intra-NR handovers.</w:t>
      </w:r>
    </w:p>
    <w:p w14:paraId="0E245E97" w14:textId="77777777" w:rsidR="001F1F15" w:rsidRDefault="001F1F15" w:rsidP="001F1F15">
      <w:pPr>
        <w:pStyle w:val="Observation"/>
        <w:numPr>
          <w:ilvl w:val="0"/>
          <w:numId w:val="4"/>
        </w:numPr>
        <w:tabs>
          <w:tab w:val="num" w:pos="360"/>
        </w:tabs>
        <w:ind w:left="360" w:hanging="360"/>
        <w:jc w:val="left"/>
      </w:pPr>
      <w:bookmarkStart w:id="21" w:name="_Toc110962890"/>
      <w:r>
        <w:t>Both handovers from NR to E-UTRA and handovers from E-UTRA to NR can generate SHRs, however with limited triggering support</w:t>
      </w:r>
      <w:r w:rsidRPr="000A6060">
        <w:t xml:space="preserve"> compared to intra-NR handovers</w:t>
      </w:r>
      <w:r>
        <w:t>.</w:t>
      </w:r>
      <w:bookmarkEnd w:id="21"/>
    </w:p>
    <w:p w14:paraId="244D76A9" w14:textId="77777777" w:rsidR="001F1F15" w:rsidRDefault="001F1F15" w:rsidP="001F1F15">
      <w:pPr>
        <w:pStyle w:val="BodyText"/>
      </w:pPr>
    </w:p>
    <w:p w14:paraId="4ACE06E3" w14:textId="6B06BE9B" w:rsidR="001F1F15" w:rsidRDefault="001F1F15" w:rsidP="001F1F15">
      <w:pPr>
        <w:pStyle w:val="BodyText"/>
      </w:pPr>
      <w:r w:rsidRPr="000C71AF">
        <w:t>We propose that RAN2 develops an Inter-RAT Successful Handover Report for improving NR mobility. The SHR should be specified for handovers from NR to E-UTRA as well as from E-UTRA to NR.</w:t>
      </w:r>
    </w:p>
    <w:p w14:paraId="5CEB15F8" w14:textId="19E3B52E" w:rsidR="001F1F15" w:rsidRPr="003C41C3" w:rsidRDefault="001F1F15" w:rsidP="006E18EA">
      <w:pPr>
        <w:pStyle w:val="Proposal"/>
        <w:jc w:val="left"/>
      </w:pPr>
      <w:bookmarkStart w:id="22" w:name="_Toc110963456"/>
      <w:r>
        <w:t xml:space="preserve">RAN2 </w:t>
      </w:r>
      <w:r w:rsidR="00986FA3">
        <w:t xml:space="preserve">to </w:t>
      </w:r>
      <w:r>
        <w:t>develop an Inter-RAT Successful Handover Report for improving NR mobility</w:t>
      </w:r>
      <w:r w:rsidR="00C83980">
        <w:t xml:space="preserve"> i.e., only </w:t>
      </w:r>
      <w:proofErr w:type="spellStart"/>
      <w:r w:rsidR="001B3899">
        <w:t>gNB</w:t>
      </w:r>
      <w:proofErr w:type="spellEnd"/>
      <w:r w:rsidR="001B3899">
        <w:t xml:space="preserve"> provides the SHR triggering </w:t>
      </w:r>
      <w:r w:rsidR="001D2F8A">
        <w:t>configuration</w:t>
      </w:r>
      <w:r>
        <w:t xml:space="preserve">. </w:t>
      </w:r>
      <w:r w:rsidR="00CA58D7" w:rsidRPr="00237605">
        <w:t xml:space="preserve">No changes on E-UTRA </w:t>
      </w:r>
      <w:proofErr w:type="gramStart"/>
      <w:r w:rsidR="00CA58D7" w:rsidRPr="00237605">
        <w:t>is</w:t>
      </w:r>
      <w:proofErr w:type="gramEnd"/>
      <w:r w:rsidR="00CA58D7" w:rsidRPr="00237605">
        <w:t xml:space="preserve"> foreseen for inter-RAT SHR</w:t>
      </w:r>
      <w:r w:rsidR="00237605">
        <w:t>.</w:t>
      </w:r>
      <w:bookmarkEnd w:id="22"/>
    </w:p>
    <w:p w14:paraId="340A96D7" w14:textId="77777777" w:rsidR="00B1737B" w:rsidRDefault="00B1737B" w:rsidP="001B7B78">
      <w:pPr>
        <w:pStyle w:val="Proposal"/>
        <w:numPr>
          <w:ilvl w:val="0"/>
          <w:numId w:val="0"/>
        </w:numPr>
        <w:ind w:left="1304" w:hanging="1304"/>
        <w:jc w:val="left"/>
      </w:pPr>
    </w:p>
    <w:p w14:paraId="01C0150C" w14:textId="77777777" w:rsidR="00662EA5" w:rsidRDefault="00E157A5" w:rsidP="00662EA5">
      <w:pPr>
        <w:pStyle w:val="Heading1"/>
        <w:ind w:left="0" w:firstLine="0"/>
      </w:pPr>
      <w:r>
        <w:t>6</w:t>
      </w:r>
      <w:r>
        <w:tab/>
      </w:r>
      <w:r w:rsidR="00B1737B">
        <w:t>Successful Handover Report enhancement</w:t>
      </w:r>
    </w:p>
    <w:p w14:paraId="63D529B8" w14:textId="77777777" w:rsidR="00DC5C54" w:rsidRDefault="00DC5C54" w:rsidP="00662EA5">
      <w:pPr>
        <w:pStyle w:val="Proposal"/>
        <w:numPr>
          <w:ilvl w:val="0"/>
          <w:numId w:val="0"/>
        </w:numPr>
        <w:jc w:val="left"/>
        <w:rPr>
          <w:b w:val="0"/>
          <w:bCs w:val="0"/>
        </w:rPr>
      </w:pPr>
      <w:bookmarkStart w:id="23" w:name="_Toc110942405"/>
      <w:bookmarkStart w:id="24" w:name="_Toc110942849"/>
      <w:bookmarkStart w:id="25" w:name="_Toc110942926"/>
      <w:bookmarkStart w:id="26" w:name="_Toc110943200"/>
      <w:bookmarkStart w:id="27" w:name="_Toc110946535"/>
      <w:bookmarkStart w:id="28" w:name="_Toc110962449"/>
    </w:p>
    <w:p w14:paraId="6D25C6A0" w14:textId="1E9561C9" w:rsidR="00B1737B" w:rsidRPr="00662EA5" w:rsidRDefault="00B1737B" w:rsidP="00662EA5">
      <w:pPr>
        <w:pStyle w:val="Proposal"/>
        <w:numPr>
          <w:ilvl w:val="0"/>
          <w:numId w:val="0"/>
        </w:numPr>
        <w:jc w:val="left"/>
        <w:rPr>
          <w:b w:val="0"/>
          <w:bCs w:val="0"/>
        </w:rPr>
      </w:pPr>
      <w:bookmarkStart w:id="29" w:name="_Toc110962902"/>
      <w:bookmarkStart w:id="30" w:name="_Toc110963316"/>
      <w:bookmarkStart w:id="31" w:name="_Toc110963457"/>
      <w:r>
        <w:rPr>
          <w:b w:val="0"/>
          <w:bCs w:val="0"/>
        </w:rPr>
        <w:t>Successful handover report</w:t>
      </w:r>
      <w:r w:rsidR="00883AED">
        <w:rPr>
          <w:b w:val="0"/>
          <w:bCs w:val="0"/>
        </w:rPr>
        <w:t xml:space="preserve"> (SHR)</w:t>
      </w:r>
      <w:r>
        <w:rPr>
          <w:b w:val="0"/>
          <w:bCs w:val="0"/>
        </w:rPr>
        <w:t xml:space="preserve"> has been standardised </w:t>
      </w:r>
      <w:r w:rsidR="00883AED">
        <w:rPr>
          <w:b w:val="0"/>
          <w:bCs w:val="0"/>
        </w:rPr>
        <w:t xml:space="preserve">in </w:t>
      </w:r>
      <w:proofErr w:type="spellStart"/>
      <w:r w:rsidR="00883AED">
        <w:rPr>
          <w:b w:val="0"/>
          <w:bCs w:val="0"/>
        </w:rPr>
        <w:t>Rel</w:t>
      </w:r>
      <w:proofErr w:type="spellEnd"/>
      <w:r w:rsidR="00883AED">
        <w:rPr>
          <w:b w:val="0"/>
          <w:bCs w:val="0"/>
        </w:rPr>
        <w:t xml:space="preserve"> 17, in the following we discuss some </w:t>
      </w:r>
      <w:r w:rsidR="00662EA5">
        <w:rPr>
          <w:b w:val="0"/>
          <w:bCs w:val="0"/>
        </w:rPr>
        <w:t>enhancements</w:t>
      </w:r>
      <w:r w:rsidR="00883AED">
        <w:rPr>
          <w:b w:val="0"/>
          <w:bCs w:val="0"/>
        </w:rPr>
        <w:t xml:space="preserve"> that can be done for the SHR report.</w:t>
      </w:r>
      <w:bookmarkEnd w:id="23"/>
      <w:bookmarkEnd w:id="24"/>
      <w:bookmarkEnd w:id="25"/>
      <w:bookmarkEnd w:id="26"/>
      <w:bookmarkEnd w:id="27"/>
      <w:bookmarkEnd w:id="28"/>
      <w:bookmarkEnd w:id="29"/>
      <w:bookmarkEnd w:id="30"/>
      <w:bookmarkEnd w:id="31"/>
    </w:p>
    <w:p w14:paraId="2FC8BF5C" w14:textId="3F41F1DF" w:rsidR="00883AED" w:rsidRDefault="00787AAE" w:rsidP="00B1737B">
      <w:pPr>
        <w:pStyle w:val="Proposal"/>
        <w:numPr>
          <w:ilvl w:val="0"/>
          <w:numId w:val="0"/>
        </w:numPr>
        <w:jc w:val="left"/>
        <w:rPr>
          <w:b w:val="0"/>
          <w:bCs w:val="0"/>
        </w:rPr>
      </w:pPr>
      <w:bookmarkStart w:id="32" w:name="_Toc110942406"/>
      <w:bookmarkStart w:id="33" w:name="_Toc110942850"/>
      <w:bookmarkStart w:id="34" w:name="_Toc110942927"/>
      <w:bookmarkStart w:id="35" w:name="_Toc110943201"/>
      <w:bookmarkStart w:id="36" w:name="_Toc110946536"/>
      <w:bookmarkStart w:id="37" w:name="_Toc110962450"/>
      <w:bookmarkStart w:id="38" w:name="_Toc110962903"/>
      <w:bookmarkStart w:id="39" w:name="_Toc110963317"/>
      <w:bookmarkStart w:id="40" w:name="_Toc110963458"/>
      <w:r>
        <w:rPr>
          <w:b w:val="0"/>
          <w:bCs w:val="0"/>
        </w:rPr>
        <w:t xml:space="preserve">The </w:t>
      </w:r>
      <w:r w:rsidR="002E3858">
        <w:rPr>
          <w:b w:val="0"/>
          <w:bCs w:val="0"/>
        </w:rPr>
        <w:t xml:space="preserve">handover interruption time has been standardised to be collected </w:t>
      </w:r>
      <w:r w:rsidR="00E82510">
        <w:rPr>
          <w:b w:val="0"/>
          <w:bCs w:val="0"/>
        </w:rPr>
        <w:t xml:space="preserve">only for DAPS HO, however the </w:t>
      </w:r>
      <w:r w:rsidR="00F90C28">
        <w:rPr>
          <w:b w:val="0"/>
          <w:bCs w:val="0"/>
        </w:rPr>
        <w:t xml:space="preserve">measurement seems to be very useful for other HO types e.g., legacy HO and CHO. In </w:t>
      </w:r>
      <w:proofErr w:type="gramStart"/>
      <w:r w:rsidR="00F90C28">
        <w:rPr>
          <w:b w:val="0"/>
          <w:bCs w:val="0"/>
        </w:rPr>
        <w:t>fact</w:t>
      </w:r>
      <w:proofErr w:type="gramEnd"/>
      <w:r w:rsidR="00F90C28">
        <w:rPr>
          <w:b w:val="0"/>
          <w:bCs w:val="0"/>
        </w:rPr>
        <w:t xml:space="preserve"> by collecting the </w:t>
      </w:r>
      <w:r w:rsidR="009E5024">
        <w:rPr>
          <w:b w:val="0"/>
          <w:bCs w:val="0"/>
        </w:rPr>
        <w:t>user plane interruption time for the legacy HO, network can analyse whether it is necessary to configure DAPS bearer or not.</w:t>
      </w:r>
      <w:bookmarkEnd w:id="32"/>
      <w:bookmarkEnd w:id="33"/>
      <w:bookmarkEnd w:id="34"/>
      <w:bookmarkEnd w:id="35"/>
      <w:bookmarkEnd w:id="36"/>
      <w:bookmarkEnd w:id="37"/>
      <w:bookmarkEnd w:id="38"/>
      <w:bookmarkEnd w:id="39"/>
      <w:bookmarkEnd w:id="40"/>
      <w:r w:rsidR="009E5024">
        <w:rPr>
          <w:b w:val="0"/>
          <w:bCs w:val="0"/>
        </w:rPr>
        <w:t xml:space="preserve"> </w:t>
      </w:r>
    </w:p>
    <w:p w14:paraId="36680AFB" w14:textId="5E5FF0C4" w:rsidR="003E0042" w:rsidRDefault="00140B8B" w:rsidP="003E0042">
      <w:pPr>
        <w:pStyle w:val="Observation"/>
        <w:numPr>
          <w:ilvl w:val="0"/>
          <w:numId w:val="4"/>
        </w:numPr>
        <w:tabs>
          <w:tab w:val="num" w:pos="360"/>
        </w:tabs>
        <w:ind w:left="360" w:hanging="360"/>
        <w:jc w:val="left"/>
      </w:pPr>
      <w:bookmarkStart w:id="41" w:name="_Toc110962891"/>
      <w:r>
        <w:t>HO interruption time for legacy HOs (or CHO) can assist the network to decide whether configuring DAOPS bearer is required or not</w:t>
      </w:r>
      <w:r w:rsidR="003E0042">
        <w:t>.</w:t>
      </w:r>
      <w:bookmarkEnd w:id="41"/>
    </w:p>
    <w:p w14:paraId="5655FF2E" w14:textId="77777777" w:rsidR="003E0042" w:rsidRPr="00864BE0" w:rsidRDefault="003E0042" w:rsidP="00864BE0">
      <w:pPr>
        <w:pStyle w:val="Proposal"/>
        <w:numPr>
          <w:ilvl w:val="0"/>
          <w:numId w:val="0"/>
        </w:numPr>
        <w:jc w:val="left"/>
        <w:rPr>
          <w:b w:val="0"/>
          <w:bCs w:val="0"/>
        </w:rPr>
      </w:pPr>
    </w:p>
    <w:p w14:paraId="3043C9F3" w14:textId="1C58423D" w:rsidR="00864BE0" w:rsidRDefault="000647DB" w:rsidP="00864BE0">
      <w:pPr>
        <w:pStyle w:val="Proposal"/>
        <w:jc w:val="left"/>
      </w:pPr>
      <w:bookmarkStart w:id="42" w:name="_Toc110963459"/>
      <w:r>
        <w:t>The</w:t>
      </w:r>
      <w:r w:rsidR="00071A6E">
        <w:t xml:space="preserve"> UE logs the user plane interruption time</w:t>
      </w:r>
      <w:r w:rsidR="00F82096">
        <w:t xml:space="preserve"> as part of SHR</w:t>
      </w:r>
      <w:r w:rsidR="00071A6E">
        <w:t xml:space="preserve"> for legacy HO and </w:t>
      </w:r>
      <w:r w:rsidR="00784658">
        <w:t xml:space="preserve">conditional </w:t>
      </w:r>
      <w:r w:rsidR="00071A6E">
        <w:t>HO.</w:t>
      </w:r>
      <w:bookmarkEnd w:id="42"/>
    </w:p>
    <w:p w14:paraId="350721D4" w14:textId="4B164437" w:rsidR="00937CE4" w:rsidRPr="00864BE0" w:rsidRDefault="00315299" w:rsidP="00864BE0">
      <w:pPr>
        <w:pStyle w:val="Proposal"/>
        <w:numPr>
          <w:ilvl w:val="0"/>
          <w:numId w:val="0"/>
        </w:numPr>
        <w:jc w:val="left"/>
      </w:pPr>
      <w:bookmarkStart w:id="43" w:name="_Toc110942408"/>
      <w:bookmarkStart w:id="44" w:name="_Toc110942852"/>
      <w:bookmarkStart w:id="45" w:name="_Toc110942929"/>
      <w:bookmarkStart w:id="46" w:name="_Toc110943203"/>
      <w:bookmarkStart w:id="47" w:name="_Toc110946538"/>
      <w:bookmarkStart w:id="48" w:name="_Toc110962452"/>
      <w:bookmarkStart w:id="49" w:name="_Toc110962905"/>
      <w:bookmarkStart w:id="50" w:name="_Toc110963319"/>
      <w:bookmarkStart w:id="51" w:name="_Toc110963460"/>
      <w:r w:rsidRPr="00864BE0">
        <w:rPr>
          <w:b w:val="0"/>
          <w:bCs w:val="0"/>
        </w:rPr>
        <w:t xml:space="preserve">In addition, considering user plane interruption time as a triggering condition for logging successful handover report can be </w:t>
      </w:r>
      <w:r w:rsidR="00E96F82" w:rsidRPr="00864BE0">
        <w:rPr>
          <w:b w:val="0"/>
          <w:bCs w:val="0"/>
        </w:rPr>
        <w:t xml:space="preserve">an efficient feature for the network </w:t>
      </w:r>
      <w:r w:rsidR="00A43B84" w:rsidRPr="00864BE0">
        <w:rPr>
          <w:b w:val="0"/>
          <w:bCs w:val="0"/>
        </w:rPr>
        <w:t xml:space="preserve">to collect the successful handover reports targeting the </w:t>
      </w:r>
      <w:r w:rsidR="00937CE4" w:rsidRPr="00864BE0">
        <w:rPr>
          <w:b w:val="0"/>
          <w:bCs w:val="0"/>
        </w:rPr>
        <w:t>handovers in which the interruption time is above a certain threshold. Hence</w:t>
      </w:r>
      <w:r w:rsidR="00C92A82" w:rsidRPr="00864BE0">
        <w:rPr>
          <w:b w:val="0"/>
          <w:bCs w:val="0"/>
        </w:rPr>
        <w:t>,</w:t>
      </w:r>
      <w:r w:rsidR="00937CE4" w:rsidRPr="00864BE0">
        <w:rPr>
          <w:b w:val="0"/>
          <w:bCs w:val="0"/>
        </w:rPr>
        <w:t xml:space="preserve"> we propose the following:</w:t>
      </w:r>
      <w:bookmarkEnd w:id="43"/>
      <w:bookmarkEnd w:id="44"/>
      <w:bookmarkEnd w:id="45"/>
      <w:bookmarkEnd w:id="46"/>
      <w:bookmarkEnd w:id="47"/>
      <w:bookmarkEnd w:id="48"/>
      <w:bookmarkEnd w:id="49"/>
      <w:bookmarkEnd w:id="50"/>
      <w:bookmarkEnd w:id="51"/>
    </w:p>
    <w:p w14:paraId="408CA2BE" w14:textId="51183DAA" w:rsidR="00315299" w:rsidRPr="003C41C3" w:rsidRDefault="00887B2D" w:rsidP="001F1F15">
      <w:pPr>
        <w:pStyle w:val="Proposal"/>
        <w:jc w:val="left"/>
      </w:pPr>
      <w:bookmarkStart w:id="52" w:name="_Toc110963461"/>
      <w:r>
        <w:t>Add</w:t>
      </w:r>
      <w:r w:rsidR="00937CE4">
        <w:t xml:space="preserve"> </w:t>
      </w:r>
      <w:r>
        <w:t>a threshold on</w:t>
      </w:r>
      <w:r w:rsidR="00937CE4">
        <w:t xml:space="preserve"> the user plan</w:t>
      </w:r>
      <w:r w:rsidR="00FC1B53">
        <w:t>e</w:t>
      </w:r>
      <w:r w:rsidR="00937CE4">
        <w:t xml:space="preserve"> interruption time as a triggering </w:t>
      </w:r>
      <w:r>
        <w:t xml:space="preserve">condition </w:t>
      </w:r>
      <w:r w:rsidR="00937CE4">
        <w:t xml:space="preserve">for the </w:t>
      </w:r>
      <w:r w:rsidR="006A5943">
        <w:t>SHR</w:t>
      </w:r>
      <w:r>
        <w:t xml:space="preserve"> generation</w:t>
      </w:r>
      <w:r w:rsidR="006A5943">
        <w:t>.</w:t>
      </w:r>
      <w:bookmarkEnd w:id="52"/>
    </w:p>
    <w:p w14:paraId="7B583AD0" w14:textId="0927B30C" w:rsidR="001F1F15" w:rsidRDefault="00E157A5" w:rsidP="00A7194B">
      <w:pPr>
        <w:pStyle w:val="Heading1"/>
        <w:ind w:left="0" w:firstLine="0"/>
      </w:pPr>
      <w:r>
        <w:t>7</w:t>
      </w:r>
      <w:r>
        <w:tab/>
      </w:r>
      <w:r w:rsidR="00C76A3E">
        <w:t>Random Access procedure optimization</w:t>
      </w:r>
    </w:p>
    <w:p w14:paraId="7D91850F" w14:textId="784FBDA3" w:rsidR="00BA1E66" w:rsidRDefault="00E157A5" w:rsidP="00864BE0">
      <w:pPr>
        <w:pStyle w:val="Heading2"/>
        <w:ind w:left="0" w:firstLine="0"/>
        <w:rPr>
          <w:rFonts w:ascii="Calibri" w:hAnsi="Calibri" w:cs="Calibri"/>
        </w:rPr>
      </w:pPr>
      <w:r>
        <w:t>7</w:t>
      </w:r>
      <w:r w:rsidR="00EF457E">
        <w:t>.1</w:t>
      </w:r>
      <w:r w:rsidR="00EF457E">
        <w:tab/>
      </w:r>
      <w:r w:rsidR="00BA1E66">
        <w:t>Dual connectivity (DC) operation in RA report</w:t>
      </w:r>
      <w:r w:rsidR="00BA1E66">
        <w:rPr>
          <w:rFonts w:ascii="Calibri" w:hAnsi="Calibri" w:cs="Calibri"/>
        </w:rPr>
        <w:t xml:space="preserve"> </w:t>
      </w:r>
    </w:p>
    <w:p w14:paraId="52AA8676" w14:textId="320EE1F0" w:rsidR="00BA1E66" w:rsidRDefault="00BA1E66" w:rsidP="00BA1E66">
      <w:pPr>
        <w:pStyle w:val="IvDInstructiontext"/>
        <w:rPr>
          <w:rStyle w:val="IvDbodytextChar"/>
          <w:i w:val="0"/>
          <w:color w:val="auto"/>
          <w:sz w:val="20"/>
          <w:szCs w:val="20"/>
        </w:rPr>
      </w:pPr>
      <w:r w:rsidRPr="0022431F">
        <w:rPr>
          <w:rStyle w:val="IvDbodytextChar"/>
          <w:rFonts w:cs="Arial"/>
          <w:i w:val="0"/>
          <w:color w:val="auto"/>
          <w:sz w:val="20"/>
          <w:szCs w:val="20"/>
        </w:rPr>
        <w:t xml:space="preserve">In this section </w:t>
      </w:r>
      <w:r w:rsidR="00A7194B" w:rsidRPr="0022431F">
        <w:rPr>
          <w:rStyle w:val="IvDbodytextChar"/>
          <w:rFonts w:cs="Arial"/>
          <w:i w:val="0"/>
          <w:color w:val="auto"/>
          <w:sz w:val="20"/>
          <w:szCs w:val="20"/>
        </w:rPr>
        <w:t xml:space="preserve">we </w:t>
      </w:r>
      <w:r w:rsidR="00A7194B">
        <w:rPr>
          <w:rStyle w:val="IvDbodytextChar"/>
          <w:rFonts w:cs="Arial"/>
          <w:i w:val="0"/>
          <w:color w:val="auto"/>
          <w:sz w:val="20"/>
          <w:szCs w:val="20"/>
        </w:rPr>
        <w:t>discuss</w:t>
      </w:r>
      <w:r>
        <w:rPr>
          <w:rStyle w:val="IvDbodytextChar"/>
          <w:rFonts w:cs="Arial"/>
          <w:i w:val="0"/>
          <w:color w:val="auto"/>
          <w:sz w:val="20"/>
          <w:szCs w:val="20"/>
        </w:rPr>
        <w:t xml:space="preserve"> possible enhancement of the RA reports collected when UE was configured with a</w:t>
      </w:r>
      <w:r w:rsidRPr="0022431F">
        <w:rPr>
          <w:rStyle w:val="IvDbodytextChar"/>
          <w:rFonts w:cs="Arial"/>
          <w:i w:val="0"/>
          <w:color w:val="auto"/>
          <w:sz w:val="20"/>
          <w:szCs w:val="20"/>
        </w:rPr>
        <w:t xml:space="preserve"> dual connectivity (DC) operation. In DC operation and the current technical specification, a UE logs RA report upon successful execution of the RA procedure</w:t>
      </w:r>
      <w:r>
        <w:rPr>
          <w:rStyle w:val="IvDbodytextChar"/>
          <w:rFonts w:cs="Arial"/>
          <w:i w:val="0"/>
          <w:color w:val="auto"/>
          <w:sz w:val="20"/>
          <w:szCs w:val="20"/>
        </w:rPr>
        <w:t xml:space="preserve"> toward MCG or SCG</w:t>
      </w:r>
      <w:r w:rsidRPr="0022431F">
        <w:rPr>
          <w:rStyle w:val="IvDbodytextChar"/>
          <w:rFonts w:cs="Arial"/>
          <w:i w:val="0"/>
          <w:color w:val="auto"/>
          <w:sz w:val="20"/>
          <w:szCs w:val="20"/>
        </w:rPr>
        <w:t>.</w:t>
      </w:r>
      <w:r>
        <w:rPr>
          <w:rStyle w:val="IvDbodytextChar"/>
          <w:rFonts w:cs="Arial"/>
          <w:i w:val="0"/>
          <w:color w:val="auto"/>
          <w:sz w:val="20"/>
          <w:szCs w:val="20"/>
        </w:rPr>
        <w:t xml:space="preserve"> I</w:t>
      </w:r>
      <w:r w:rsidRPr="0022431F">
        <w:rPr>
          <w:rStyle w:val="IvDbodytextChar"/>
          <w:rFonts w:cs="Arial"/>
          <w:i w:val="0"/>
          <w:color w:val="auto"/>
          <w:sz w:val="20"/>
          <w:szCs w:val="20"/>
        </w:rPr>
        <w:t>n MR-DC</w:t>
      </w:r>
      <w:r>
        <w:rPr>
          <w:rStyle w:val="IvDbodytextChar"/>
          <w:rFonts w:cs="Arial"/>
          <w:i w:val="0"/>
          <w:color w:val="auto"/>
          <w:sz w:val="20"/>
          <w:szCs w:val="20"/>
        </w:rPr>
        <w:t>,</w:t>
      </w:r>
      <w:r w:rsidRPr="0022431F">
        <w:rPr>
          <w:rStyle w:val="IvDbodytextChar"/>
          <w:rFonts w:cs="Arial"/>
          <w:i w:val="0"/>
          <w:color w:val="auto"/>
          <w:sz w:val="20"/>
          <w:szCs w:val="20"/>
        </w:rPr>
        <w:t xml:space="preserve"> </w:t>
      </w:r>
      <w:r>
        <w:rPr>
          <w:rStyle w:val="IvDbodytextChar"/>
          <w:rFonts w:cs="Arial"/>
          <w:i w:val="0"/>
          <w:color w:val="auto"/>
          <w:sz w:val="20"/>
          <w:szCs w:val="20"/>
        </w:rPr>
        <w:t>a</w:t>
      </w:r>
      <w:r w:rsidRPr="0022431F">
        <w:rPr>
          <w:rStyle w:val="IvDbodytextChar"/>
          <w:rFonts w:cs="Arial"/>
          <w:i w:val="0"/>
          <w:color w:val="auto"/>
          <w:sz w:val="20"/>
          <w:szCs w:val="20"/>
        </w:rPr>
        <w:t xml:space="preserve"> UE logs the same</w:t>
      </w:r>
      <w:r>
        <w:rPr>
          <w:rStyle w:val="IvDbodytextChar"/>
          <w:rFonts w:cs="Arial"/>
          <w:i w:val="0"/>
          <w:color w:val="auto"/>
          <w:sz w:val="20"/>
          <w:szCs w:val="20"/>
        </w:rPr>
        <w:t xml:space="preserve"> set of </w:t>
      </w:r>
      <w:r w:rsidRPr="0022431F">
        <w:rPr>
          <w:rStyle w:val="IvDbodytextChar"/>
          <w:rFonts w:cs="Arial"/>
          <w:i w:val="0"/>
          <w:color w:val="auto"/>
          <w:sz w:val="20"/>
          <w:szCs w:val="20"/>
        </w:rPr>
        <w:t xml:space="preserve">RA </w:t>
      </w:r>
      <w:r>
        <w:rPr>
          <w:rStyle w:val="IvDbodytextChar"/>
          <w:rFonts w:cs="Arial"/>
          <w:i w:val="0"/>
          <w:color w:val="auto"/>
          <w:sz w:val="20"/>
          <w:szCs w:val="20"/>
        </w:rPr>
        <w:t xml:space="preserve">related information and measurements, no matter if the RA was performed toward a cell acting as a </w:t>
      </w:r>
      <w:r w:rsidRPr="0022431F">
        <w:rPr>
          <w:rStyle w:val="IvDbodytextChar"/>
          <w:rFonts w:cs="Arial"/>
          <w:i w:val="0"/>
          <w:color w:val="auto"/>
          <w:sz w:val="20"/>
          <w:szCs w:val="20"/>
        </w:rPr>
        <w:t>SCG</w:t>
      </w:r>
      <w:r>
        <w:rPr>
          <w:rStyle w:val="IvDbodytextChar"/>
          <w:rFonts w:cs="Arial"/>
          <w:i w:val="0"/>
          <w:color w:val="auto"/>
          <w:sz w:val="20"/>
          <w:szCs w:val="20"/>
        </w:rPr>
        <w:t xml:space="preserve"> </w:t>
      </w:r>
      <w:r w:rsidRPr="0022431F">
        <w:rPr>
          <w:rStyle w:val="IvDbodytextChar"/>
          <w:rFonts w:cs="Arial"/>
          <w:i w:val="0"/>
          <w:color w:val="auto"/>
          <w:sz w:val="20"/>
          <w:szCs w:val="20"/>
        </w:rPr>
        <w:t>MCG.</w:t>
      </w:r>
      <w:r>
        <w:rPr>
          <w:rStyle w:val="IvDbodytextChar"/>
          <w:rFonts w:cs="Arial"/>
          <w:i w:val="0"/>
          <w:color w:val="auto"/>
          <w:sz w:val="20"/>
          <w:szCs w:val="20"/>
        </w:rPr>
        <w:t xml:space="preserve"> </w:t>
      </w:r>
      <w:r w:rsidRPr="0022431F">
        <w:rPr>
          <w:rStyle w:val="IvDbodytextChar"/>
          <w:rFonts w:cs="Arial"/>
          <w:i w:val="0"/>
          <w:color w:val="auto"/>
          <w:sz w:val="20"/>
          <w:szCs w:val="20"/>
        </w:rPr>
        <w:t>Thus, a</w:t>
      </w:r>
      <w:r>
        <w:rPr>
          <w:rStyle w:val="IvDbodytextChar"/>
          <w:rFonts w:cs="Arial"/>
          <w:i w:val="0"/>
          <w:color w:val="auto"/>
          <w:sz w:val="20"/>
          <w:szCs w:val="20"/>
        </w:rPr>
        <w:t xml:space="preserve"> RAN node analyzing the RA reports </w:t>
      </w:r>
      <w:r w:rsidRPr="0022431F">
        <w:rPr>
          <w:rStyle w:val="IvDbodytextChar"/>
          <w:rFonts w:cs="Arial"/>
          <w:i w:val="0"/>
          <w:color w:val="auto"/>
          <w:sz w:val="20"/>
          <w:szCs w:val="20"/>
        </w:rPr>
        <w:t>k would not be able to determine whether the reported RA</w:t>
      </w:r>
      <w:r>
        <w:rPr>
          <w:rStyle w:val="IvDbodytextChar"/>
          <w:rFonts w:cs="Arial"/>
          <w:i w:val="0"/>
          <w:color w:val="auto"/>
          <w:sz w:val="20"/>
          <w:szCs w:val="20"/>
        </w:rPr>
        <w:t xml:space="preserve"> information is associated to an RA performed toward a Cell acting as MCG or as SCG</w:t>
      </w:r>
      <w:r w:rsidRPr="0022431F">
        <w:rPr>
          <w:rStyle w:val="IvDbodytextChar"/>
          <w:rFonts w:cs="Arial"/>
          <w:i w:val="0"/>
          <w:color w:val="auto"/>
          <w:sz w:val="20"/>
          <w:szCs w:val="20"/>
        </w:rPr>
        <w:t>.</w:t>
      </w:r>
      <w:r>
        <w:rPr>
          <w:rStyle w:val="IvDbodytextChar"/>
          <w:rFonts w:cs="Arial"/>
          <w:i w:val="0"/>
          <w:color w:val="auto"/>
          <w:sz w:val="20"/>
          <w:szCs w:val="20"/>
        </w:rPr>
        <w:t xml:space="preserve"> Needless to mention that the performance of a RA performed toward a cell as MCG might be different from the performance of an RA procedure performed toward an SCG.</w:t>
      </w:r>
      <w:r w:rsidRPr="0022431F">
        <w:rPr>
          <w:rStyle w:val="IvDbodytextChar"/>
          <w:rFonts w:cs="Arial"/>
          <w:i w:val="0"/>
          <w:color w:val="auto"/>
          <w:sz w:val="20"/>
          <w:szCs w:val="20"/>
        </w:rPr>
        <w:t xml:space="preserve"> For instance, a</w:t>
      </w:r>
      <w:r>
        <w:rPr>
          <w:rStyle w:val="IvDbodytextChar"/>
          <w:rFonts w:cs="Arial"/>
          <w:i w:val="0"/>
          <w:color w:val="auto"/>
          <w:sz w:val="20"/>
          <w:szCs w:val="20"/>
        </w:rPr>
        <w:t>n</w:t>
      </w:r>
      <w:r w:rsidRPr="0022431F">
        <w:rPr>
          <w:rStyle w:val="IvDbodytextChar"/>
          <w:rFonts w:cs="Arial"/>
          <w:i w:val="0"/>
          <w:color w:val="auto"/>
          <w:sz w:val="20"/>
          <w:szCs w:val="20"/>
        </w:rPr>
        <w:t xml:space="preserve"> RA procedure may imply suffering poor coverage or too aggressive SN addition/SN change policy </w:t>
      </w:r>
      <w:r>
        <w:rPr>
          <w:rStyle w:val="IvDbodytextChar"/>
          <w:rFonts w:cs="Arial"/>
          <w:i w:val="0"/>
          <w:color w:val="auto"/>
          <w:sz w:val="20"/>
          <w:szCs w:val="20"/>
        </w:rPr>
        <w:t xml:space="preserve">by neighbor cell </w:t>
      </w:r>
      <w:r w:rsidRPr="0022431F">
        <w:rPr>
          <w:rStyle w:val="IvDbodytextChar"/>
          <w:rFonts w:cs="Arial"/>
          <w:i w:val="0"/>
          <w:color w:val="auto"/>
          <w:sz w:val="20"/>
          <w:szCs w:val="20"/>
        </w:rPr>
        <w:t>for a node operating as SN in MR-DC</w:t>
      </w:r>
      <w:r>
        <w:rPr>
          <w:rStyle w:val="IvDbodytextChar"/>
          <w:rFonts w:cs="Arial"/>
          <w:i w:val="0"/>
          <w:color w:val="auto"/>
          <w:sz w:val="20"/>
          <w:szCs w:val="20"/>
        </w:rPr>
        <w:t>. This</w:t>
      </w:r>
      <w:r w:rsidRPr="0022431F">
        <w:rPr>
          <w:rStyle w:val="IvDbodytextChar"/>
          <w:rFonts w:cs="Arial"/>
          <w:i w:val="0"/>
          <w:color w:val="auto"/>
          <w:sz w:val="20"/>
          <w:szCs w:val="20"/>
        </w:rPr>
        <w:t xml:space="preserve"> this information is useful for network optimization.</w:t>
      </w:r>
    </w:p>
    <w:p w14:paraId="72F53A00" w14:textId="77777777" w:rsidR="00BA1E66" w:rsidRDefault="00BA1E66" w:rsidP="00BA1E66">
      <w:pPr>
        <w:pStyle w:val="IvDInstructiontext"/>
        <w:spacing w:before="0"/>
        <w:rPr>
          <w:rStyle w:val="IvDbodytextChar"/>
          <w:i w:val="0"/>
          <w:color w:val="auto"/>
          <w:sz w:val="20"/>
          <w:szCs w:val="20"/>
        </w:rPr>
      </w:pPr>
    </w:p>
    <w:p w14:paraId="44BF09BC" w14:textId="48E37EC6" w:rsidR="00BA1E66" w:rsidRDefault="00BA1E66" w:rsidP="00864BE0">
      <w:pPr>
        <w:pStyle w:val="Observation"/>
      </w:pPr>
      <w:bookmarkStart w:id="53" w:name="_Toc110514280"/>
      <w:bookmarkStart w:id="54" w:name="_Toc110962892"/>
      <w:r>
        <w:t xml:space="preserve">It is beneficial for network optimization </w:t>
      </w:r>
      <w:r w:rsidR="004163C9">
        <w:t xml:space="preserve">to know </w:t>
      </w:r>
      <w:r>
        <w:t>whether the RA report is associated to random access procedure executed toward a cell acting as SCG or MCG</w:t>
      </w:r>
      <w:r w:rsidRPr="00675D41">
        <w:t>.</w:t>
      </w:r>
      <w:bookmarkEnd w:id="53"/>
      <w:bookmarkEnd w:id="54"/>
    </w:p>
    <w:p w14:paraId="6FE55553" w14:textId="77777777" w:rsidR="00BA1E66" w:rsidRDefault="00BA1E66" w:rsidP="00BA1E66">
      <w:pPr>
        <w:pStyle w:val="IvDInstructiontext"/>
        <w:rPr>
          <w:rStyle w:val="IvDbodytextChar"/>
          <w:i w:val="0"/>
          <w:color w:val="auto"/>
          <w:sz w:val="20"/>
          <w:szCs w:val="20"/>
        </w:rPr>
      </w:pPr>
      <w:r>
        <w:rPr>
          <w:rStyle w:val="IvDbodytextChar"/>
          <w:i w:val="0"/>
          <w:color w:val="auto"/>
          <w:sz w:val="20"/>
          <w:szCs w:val="20"/>
          <w:lang w:val="en-GB"/>
        </w:rPr>
        <w:t xml:space="preserve">In light of above discussion, we request RAN2 to discuss </w:t>
      </w:r>
      <w:r w:rsidRPr="00ED33AC">
        <w:rPr>
          <w:rStyle w:val="IvDbodytextChar"/>
          <w:i w:val="0"/>
          <w:color w:val="auto"/>
          <w:sz w:val="20"/>
          <w:szCs w:val="20"/>
          <w:lang w:val="en-GB"/>
        </w:rPr>
        <w:t xml:space="preserve">differentiating </w:t>
      </w:r>
      <w:r>
        <w:rPr>
          <w:rStyle w:val="IvDbodytextChar"/>
          <w:i w:val="0"/>
          <w:color w:val="auto"/>
          <w:sz w:val="20"/>
          <w:szCs w:val="20"/>
          <w:lang w:val="en-GB"/>
        </w:rPr>
        <w:t>between</w:t>
      </w:r>
      <w:r w:rsidRPr="00ED33AC">
        <w:rPr>
          <w:rStyle w:val="IvDbodytextChar"/>
          <w:i w:val="0"/>
          <w:color w:val="auto"/>
          <w:sz w:val="20"/>
          <w:szCs w:val="20"/>
          <w:lang w:val="en-GB"/>
        </w:rPr>
        <w:t xml:space="preserve"> RA </w:t>
      </w:r>
      <w:r>
        <w:rPr>
          <w:rStyle w:val="IvDbodytextChar"/>
          <w:i w:val="0"/>
          <w:color w:val="auto"/>
          <w:sz w:val="20"/>
          <w:szCs w:val="20"/>
          <w:lang w:val="en-GB"/>
        </w:rPr>
        <w:t xml:space="preserve">reports </w:t>
      </w:r>
      <w:r w:rsidRPr="00ED33AC">
        <w:rPr>
          <w:rStyle w:val="IvDbodytextChar"/>
          <w:i w:val="0"/>
          <w:color w:val="auto"/>
          <w:sz w:val="20"/>
          <w:szCs w:val="20"/>
          <w:lang w:val="en-GB"/>
        </w:rPr>
        <w:t xml:space="preserve">associated to </w:t>
      </w:r>
      <w:r>
        <w:rPr>
          <w:rStyle w:val="IvDbodytextChar"/>
          <w:i w:val="0"/>
          <w:color w:val="auto"/>
          <w:sz w:val="20"/>
          <w:szCs w:val="20"/>
          <w:lang w:val="en-GB"/>
        </w:rPr>
        <w:t xml:space="preserve">a </w:t>
      </w:r>
      <w:proofErr w:type="gramStart"/>
      <w:r>
        <w:rPr>
          <w:rStyle w:val="IvDbodytextChar"/>
          <w:i w:val="0"/>
          <w:color w:val="auto"/>
          <w:sz w:val="20"/>
          <w:szCs w:val="20"/>
          <w:lang w:val="en-GB"/>
        </w:rPr>
        <w:t>random access</w:t>
      </w:r>
      <w:proofErr w:type="gramEnd"/>
      <w:r>
        <w:rPr>
          <w:rStyle w:val="IvDbodytextChar"/>
          <w:i w:val="0"/>
          <w:color w:val="auto"/>
          <w:sz w:val="20"/>
          <w:szCs w:val="20"/>
          <w:lang w:val="en-GB"/>
        </w:rPr>
        <w:t xml:space="preserve"> procedure performed toward a cell acting as MN or as SN. </w:t>
      </w:r>
    </w:p>
    <w:p w14:paraId="4C073DCC" w14:textId="77777777" w:rsidR="00BA1E66" w:rsidRDefault="00BA1E66" w:rsidP="00BA1E66">
      <w:pPr>
        <w:pStyle w:val="BodyText"/>
        <w:rPr>
          <w:lang w:val="en-US"/>
        </w:rPr>
      </w:pPr>
    </w:p>
    <w:p w14:paraId="4CDAA3A2" w14:textId="0DDC2BCA" w:rsidR="00BA1E66" w:rsidRDefault="005753C2" w:rsidP="00BA1E66">
      <w:pPr>
        <w:pStyle w:val="Proposal"/>
        <w:jc w:val="left"/>
        <w:rPr>
          <w:lang w:val="en-US"/>
        </w:rPr>
      </w:pPr>
      <w:bookmarkStart w:id="55" w:name="_Toc110514283"/>
      <w:bookmarkStart w:id="56" w:name="_Toc110865384"/>
      <w:bookmarkStart w:id="57" w:name="_Toc110963462"/>
      <w:r>
        <w:rPr>
          <w:lang w:val="en-US"/>
        </w:rPr>
        <w:t>I</w:t>
      </w:r>
      <w:r w:rsidR="0010314E">
        <w:rPr>
          <w:lang w:val="en-US"/>
        </w:rPr>
        <w:t>nclude</w:t>
      </w:r>
      <w:r w:rsidR="00BA1E66">
        <w:rPr>
          <w:lang w:val="en-US"/>
        </w:rPr>
        <w:t xml:space="preserve"> information in the RA report on whether the </w:t>
      </w:r>
      <w:proofErr w:type="gramStart"/>
      <w:r w:rsidR="00BA1E66">
        <w:rPr>
          <w:lang w:val="en-US"/>
        </w:rPr>
        <w:t>random access</w:t>
      </w:r>
      <w:proofErr w:type="gramEnd"/>
      <w:r w:rsidR="00BA1E66">
        <w:rPr>
          <w:lang w:val="en-US"/>
        </w:rPr>
        <w:t xml:space="preserve"> procedure was executed towards MCG or SCG.</w:t>
      </w:r>
      <w:bookmarkEnd w:id="55"/>
      <w:bookmarkEnd w:id="56"/>
      <w:bookmarkEnd w:id="57"/>
    </w:p>
    <w:p w14:paraId="00231C12" w14:textId="6179BF3E" w:rsidR="009845AF" w:rsidRDefault="009845AF" w:rsidP="00864BE0">
      <w:pPr>
        <w:pStyle w:val="Heading2"/>
        <w:numPr>
          <w:ilvl w:val="1"/>
          <w:numId w:val="25"/>
        </w:numPr>
        <w:rPr>
          <w:rFonts w:ascii="Calibri" w:hAnsi="Calibri" w:cs="Calibri"/>
        </w:rPr>
      </w:pPr>
      <w:r>
        <w:t>RACH partitioning information in RA report</w:t>
      </w:r>
      <w:r>
        <w:rPr>
          <w:rFonts w:ascii="Calibri" w:hAnsi="Calibri" w:cs="Calibri"/>
        </w:rPr>
        <w:t xml:space="preserve"> </w:t>
      </w:r>
    </w:p>
    <w:p w14:paraId="5DF88FB1" w14:textId="77777777" w:rsidR="009845AF" w:rsidRDefault="009845AF" w:rsidP="009845AF">
      <w:pPr>
        <w:pStyle w:val="BodyText"/>
        <w:rPr>
          <w:rStyle w:val="IvDbodytextChar"/>
        </w:rPr>
      </w:pPr>
      <w:r>
        <w:t>As part of Rel-17</w:t>
      </w:r>
      <w:r w:rsidRPr="0081331B">
        <w:rPr>
          <w:rStyle w:val="IvDbodytextChar"/>
        </w:rPr>
        <w:t xml:space="preserve"> TS 38.331, </w:t>
      </w:r>
      <w:bookmarkStart w:id="58" w:name="_Hlk107475387"/>
      <w:r w:rsidRPr="0081331B">
        <w:rPr>
          <w:rStyle w:val="IvDbodytextChar"/>
        </w:rPr>
        <w:t>t</w:t>
      </w:r>
      <w:r>
        <w:rPr>
          <w:rStyle w:val="IvDbodytextChar"/>
        </w:rPr>
        <w:t xml:space="preserve">he RA resources are partitioned for different use cases and features e.g., </w:t>
      </w:r>
      <w:proofErr w:type="spellStart"/>
      <w:r>
        <w:rPr>
          <w:rStyle w:val="IvDbodytextChar"/>
        </w:rPr>
        <w:t>RedCap</w:t>
      </w:r>
      <w:proofErr w:type="spellEnd"/>
      <w:r>
        <w:rPr>
          <w:rStyle w:val="IvDbodytextChar"/>
        </w:rPr>
        <w:t>, Small data enhancements and slicing, etc.</w:t>
      </w:r>
      <w:r w:rsidRPr="0045746A">
        <w:rPr>
          <w:rStyle w:val="IvDbodytextChar"/>
        </w:rPr>
        <w:t xml:space="preserve"> </w:t>
      </w:r>
      <w:r>
        <w:rPr>
          <w:rStyle w:val="IvDbodytextChar"/>
        </w:rPr>
        <w:t>A</w:t>
      </w:r>
      <w:r w:rsidRPr="0081331B">
        <w:rPr>
          <w:rStyle w:val="IvDbodytextChar"/>
        </w:rPr>
        <w:t xml:space="preserve"> UE uses a specific part of the RA resource</w:t>
      </w:r>
      <w:r>
        <w:rPr>
          <w:rStyle w:val="IvDbodytextChar"/>
        </w:rPr>
        <w:t>s</w:t>
      </w:r>
      <w:r w:rsidRPr="0081331B">
        <w:rPr>
          <w:rStyle w:val="IvDbodytextChar"/>
        </w:rPr>
        <w:t xml:space="preserve"> based on the network’s RA resource partitioning configuration, the UE capabilities and </w:t>
      </w:r>
      <w:r>
        <w:rPr>
          <w:rStyle w:val="IvDbodytextChar"/>
        </w:rPr>
        <w:t>the demands coming from different features at the UE</w:t>
      </w:r>
      <w:r w:rsidRPr="0081331B">
        <w:rPr>
          <w:rStyle w:val="IvDbodytextChar"/>
        </w:rPr>
        <w:t>.</w:t>
      </w:r>
    </w:p>
    <w:p w14:paraId="23AD5923" w14:textId="77777777" w:rsidR="009845AF" w:rsidRDefault="009845AF" w:rsidP="009845AF">
      <w:pPr>
        <w:pStyle w:val="BodyText"/>
        <w:rPr>
          <w:rStyle w:val="IvDbodytextChar"/>
        </w:rPr>
      </w:pPr>
      <w:r>
        <w:rPr>
          <w:rStyle w:val="IvDbodytextChar"/>
        </w:rPr>
        <w:t xml:space="preserve">As part of RACH partitioning </w:t>
      </w:r>
      <w:proofErr w:type="gramStart"/>
      <w:r>
        <w:rPr>
          <w:rStyle w:val="IvDbodytextChar"/>
        </w:rPr>
        <w:t>feature</w:t>
      </w:r>
      <w:proofErr w:type="gramEnd"/>
      <w:r>
        <w:rPr>
          <w:rStyle w:val="IvDbodytextChar"/>
        </w:rPr>
        <w:t xml:space="preserve"> a subset of RA resources e.g., preambles will be dedicated to one or a restricted set of features based on the feature combination configuration. However, a </w:t>
      </w:r>
      <w:proofErr w:type="spellStart"/>
      <w:r>
        <w:rPr>
          <w:rStyle w:val="IvDbodytextChar"/>
        </w:rPr>
        <w:t>gNB</w:t>
      </w:r>
      <w:proofErr w:type="spellEnd"/>
      <w:r>
        <w:rPr>
          <w:rStyle w:val="IvDbodytextChar"/>
        </w:rPr>
        <w:t xml:space="preserve"> may change the RACH resource partitioning over time based on the load in different partitions. Or the network might partition and isolate RA resources per feature i.e., a preamble set is configured for a feature in the same RA frequency + time resource allocation. </w:t>
      </w:r>
    </w:p>
    <w:p w14:paraId="4C4161CA" w14:textId="65318CBA" w:rsidR="009845AF" w:rsidRDefault="009845AF" w:rsidP="00864BE0">
      <w:pPr>
        <w:pStyle w:val="Observation"/>
        <w:numPr>
          <w:ilvl w:val="0"/>
          <w:numId w:val="4"/>
        </w:numPr>
        <w:jc w:val="left"/>
      </w:pPr>
      <w:bookmarkStart w:id="59" w:name="_Toc110514278"/>
      <w:bookmarkStart w:id="60" w:name="_Toc110962893"/>
      <w:r>
        <w:t xml:space="preserve">RA resources can be </w:t>
      </w:r>
      <w:r w:rsidR="00504A9A">
        <w:t>partitioned,</w:t>
      </w:r>
      <w:r>
        <w:t xml:space="preserve"> and every partition can be allocated to a limited set of features.</w:t>
      </w:r>
      <w:bookmarkEnd w:id="59"/>
      <w:bookmarkEnd w:id="60"/>
    </w:p>
    <w:p w14:paraId="03516691" w14:textId="77777777" w:rsidR="009845AF" w:rsidRPr="00D7421E" w:rsidRDefault="009845AF" w:rsidP="00864BE0">
      <w:pPr>
        <w:pStyle w:val="Observation"/>
        <w:numPr>
          <w:ilvl w:val="0"/>
          <w:numId w:val="4"/>
        </w:numPr>
        <w:jc w:val="left"/>
        <w:rPr>
          <w:rStyle w:val="IvDbodytextChar"/>
          <w:spacing w:val="0"/>
          <w:lang w:val="en-GB" w:eastAsia="ja-JP"/>
        </w:rPr>
      </w:pPr>
      <w:bookmarkStart w:id="61" w:name="_Toc110514279"/>
      <w:bookmarkStart w:id="62" w:name="_Toc110962894"/>
      <w:r>
        <w:t xml:space="preserve">A </w:t>
      </w:r>
      <w:proofErr w:type="spellStart"/>
      <w:r>
        <w:t>gNB</w:t>
      </w:r>
      <w:proofErr w:type="spellEnd"/>
      <w:r>
        <w:t xml:space="preserve"> may reconfigure the RACH partitions based on the load over each partition.</w:t>
      </w:r>
      <w:bookmarkEnd w:id="61"/>
      <w:bookmarkEnd w:id="62"/>
    </w:p>
    <w:p w14:paraId="64D87688" w14:textId="77777777" w:rsidR="009845AF" w:rsidRDefault="009845AF" w:rsidP="009845AF">
      <w:pPr>
        <w:pStyle w:val="IvDInstructiontext"/>
        <w:rPr>
          <w:rStyle w:val="IvDbodytextChar"/>
          <w:i w:val="0"/>
          <w:color w:val="auto"/>
          <w:sz w:val="20"/>
          <w:szCs w:val="20"/>
        </w:rPr>
      </w:pPr>
      <w:r>
        <w:rPr>
          <w:rStyle w:val="IvDbodytextChar"/>
          <w:i w:val="0"/>
          <w:color w:val="auto"/>
          <w:sz w:val="20"/>
          <w:szCs w:val="20"/>
        </w:rPr>
        <w:t xml:space="preserve">However, a network that is interested in optimizing the RA parameter configurations, uses the RA report to identify any issues faced by a UE while performing the RA procedure. Thus, the network needs to know how the RA resources were configured at the time of RA execution e.g., whether the logged RA parameters by UE in RA report was partitioned and associated to any features e.g., </w:t>
      </w:r>
      <w:proofErr w:type="spellStart"/>
      <w:r>
        <w:rPr>
          <w:rStyle w:val="IvDbodytextChar"/>
          <w:i w:val="0"/>
          <w:color w:val="auto"/>
          <w:sz w:val="20"/>
          <w:szCs w:val="20"/>
        </w:rPr>
        <w:t>RedCap</w:t>
      </w:r>
      <w:proofErr w:type="spellEnd"/>
      <w:r>
        <w:rPr>
          <w:rStyle w:val="IvDbodytextChar"/>
          <w:i w:val="0"/>
          <w:color w:val="auto"/>
          <w:sz w:val="20"/>
          <w:szCs w:val="20"/>
        </w:rPr>
        <w:t xml:space="preserve"> related feature or a SDT feature </w:t>
      </w:r>
      <w:proofErr w:type="spellStart"/>
      <w:r>
        <w:rPr>
          <w:rStyle w:val="IvDbodytextChar"/>
          <w:i w:val="0"/>
          <w:color w:val="auto"/>
          <w:sz w:val="20"/>
          <w:szCs w:val="20"/>
        </w:rPr>
        <w:t>etc</w:t>
      </w:r>
      <w:proofErr w:type="spellEnd"/>
      <w:r>
        <w:rPr>
          <w:rStyle w:val="IvDbodytextChar"/>
          <w:i w:val="0"/>
          <w:color w:val="auto"/>
          <w:sz w:val="20"/>
          <w:szCs w:val="20"/>
        </w:rPr>
        <w:t>, or not.</w:t>
      </w:r>
      <w:r w:rsidRPr="00C96E04">
        <w:t xml:space="preserve"> </w:t>
      </w:r>
      <w:bookmarkStart w:id="63" w:name="_Hlk107479697"/>
      <w:r>
        <w:rPr>
          <w:rStyle w:val="IvDbodytextChar"/>
          <w:i w:val="0"/>
          <w:color w:val="auto"/>
          <w:sz w:val="20"/>
          <w:szCs w:val="20"/>
        </w:rPr>
        <w:t>However, this is not possible by using the existing RA report.</w:t>
      </w:r>
      <w:bookmarkEnd w:id="63"/>
      <w:r>
        <w:rPr>
          <w:rStyle w:val="IvDbodytextChar"/>
          <w:i w:val="0"/>
          <w:color w:val="auto"/>
          <w:sz w:val="20"/>
          <w:szCs w:val="20"/>
        </w:rPr>
        <w:t xml:space="preserve"> </w:t>
      </w:r>
    </w:p>
    <w:p w14:paraId="5F481F8A" w14:textId="77777777" w:rsidR="009845AF" w:rsidRDefault="009845AF" w:rsidP="009845AF">
      <w:pPr>
        <w:pStyle w:val="IvDInstructiontext"/>
        <w:rPr>
          <w:rStyle w:val="IvDbodytextChar"/>
          <w:i w:val="0"/>
          <w:color w:val="auto"/>
          <w:sz w:val="20"/>
          <w:szCs w:val="20"/>
        </w:rPr>
      </w:pPr>
      <w:r>
        <w:rPr>
          <w:rStyle w:val="IvDbodytextChar"/>
          <w:i w:val="0"/>
          <w:color w:val="auto"/>
          <w:sz w:val="20"/>
          <w:szCs w:val="20"/>
        </w:rPr>
        <w:t>In our opinion, RA partitioning related information</w:t>
      </w:r>
      <w:r w:rsidRPr="00C96E04">
        <w:rPr>
          <w:rStyle w:val="IvDbodytextChar"/>
          <w:i w:val="0"/>
          <w:color w:val="auto"/>
          <w:sz w:val="20"/>
          <w:szCs w:val="20"/>
        </w:rPr>
        <w:t xml:space="preserve"> </w:t>
      </w:r>
      <w:r>
        <w:rPr>
          <w:rStyle w:val="IvDbodytextChar"/>
          <w:i w:val="0"/>
          <w:color w:val="auto"/>
          <w:sz w:val="20"/>
          <w:szCs w:val="20"/>
        </w:rPr>
        <w:t xml:space="preserve">in RA report is useful for the network </w:t>
      </w:r>
      <w:proofErr w:type="gramStart"/>
      <w:r>
        <w:rPr>
          <w:rStyle w:val="IvDbodytextChar"/>
          <w:i w:val="0"/>
          <w:color w:val="auto"/>
          <w:sz w:val="20"/>
          <w:szCs w:val="20"/>
        </w:rPr>
        <w:t>in order to</w:t>
      </w:r>
      <w:proofErr w:type="gramEnd"/>
      <w:r>
        <w:rPr>
          <w:rStyle w:val="IvDbodytextChar"/>
          <w:i w:val="0"/>
          <w:color w:val="auto"/>
          <w:sz w:val="20"/>
          <w:szCs w:val="20"/>
        </w:rPr>
        <w:t xml:space="preserve"> </w:t>
      </w:r>
      <w:r w:rsidRPr="00C96E04">
        <w:rPr>
          <w:rStyle w:val="IvDbodytextChar"/>
          <w:i w:val="0"/>
          <w:color w:val="auto"/>
          <w:sz w:val="20"/>
          <w:szCs w:val="20"/>
        </w:rPr>
        <w:t>optimize the RA performance for each of the feature separately.</w:t>
      </w:r>
      <w:r>
        <w:rPr>
          <w:rStyle w:val="IvDbodytextChar"/>
          <w:i w:val="0"/>
          <w:color w:val="auto"/>
          <w:sz w:val="20"/>
          <w:szCs w:val="20"/>
        </w:rPr>
        <w:t xml:space="preserve"> </w:t>
      </w:r>
    </w:p>
    <w:p w14:paraId="6CEEE3B2" w14:textId="77777777" w:rsidR="009845AF" w:rsidRDefault="009845AF" w:rsidP="009845AF">
      <w:pPr>
        <w:pStyle w:val="IvDInstructiontext"/>
        <w:rPr>
          <w:rStyle w:val="IvDbodytextChar"/>
          <w:i w:val="0"/>
          <w:color w:val="auto"/>
          <w:sz w:val="20"/>
          <w:szCs w:val="20"/>
        </w:rPr>
      </w:pPr>
    </w:p>
    <w:p w14:paraId="23A21974" w14:textId="3BCE6E8C" w:rsidR="009845AF" w:rsidRDefault="009845AF" w:rsidP="009845AF">
      <w:pPr>
        <w:pStyle w:val="Proposal"/>
        <w:jc w:val="left"/>
      </w:pPr>
      <w:bookmarkStart w:id="64" w:name="_Toc110514282"/>
      <w:bookmarkStart w:id="65" w:name="_Toc110963463"/>
      <w:r>
        <w:rPr>
          <w:lang w:val="en-US"/>
        </w:rPr>
        <w:t>RAN2 consider RA partitioning related information in RA report for feature-based RACH configuration optimization</w:t>
      </w:r>
      <w:r>
        <w:t>.</w:t>
      </w:r>
      <w:bookmarkEnd w:id="64"/>
      <w:bookmarkEnd w:id="65"/>
    </w:p>
    <w:bookmarkEnd w:id="58"/>
    <w:p w14:paraId="30A968D0" w14:textId="77777777" w:rsidR="00167375" w:rsidRPr="00167375" w:rsidRDefault="00167375" w:rsidP="00167375"/>
    <w:p w14:paraId="5A1CBA2B" w14:textId="77777777" w:rsidR="00C01F33" w:rsidRPr="00CE0424" w:rsidRDefault="00C01F33" w:rsidP="00CE0424">
      <w:pPr>
        <w:pStyle w:val="Heading1"/>
      </w:pPr>
      <w:r w:rsidRPr="00CE0424">
        <w:t>Conclusion</w:t>
      </w:r>
    </w:p>
    <w:p w14:paraId="1B1EE24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A8346C7" w14:textId="77777777" w:rsidR="00DC5C54" w:rsidRDefault="006F6582">
      <w:pPr>
        <w:pStyle w:val="TableofFigures"/>
        <w:tabs>
          <w:tab w:val="right" w:leader="dot" w:pos="9629"/>
        </w:tabs>
        <w:rPr>
          <w:rFonts w:asciiTheme="minorHAnsi" w:eastAsiaTheme="minorEastAsia" w:hAnsiTheme="minorHAnsi" w:cstheme="minorBidi"/>
          <w:b w:val="0"/>
          <w:sz w:val="24"/>
          <w:szCs w:val="24"/>
          <w:lang w:val="en-US" w:eastAsia="en-GB"/>
        </w:rPr>
      </w:pPr>
      <w:r>
        <w:rPr>
          <w:b w:val="0"/>
          <w:bCs/>
        </w:rPr>
        <w:fldChar w:fldCharType="begin"/>
      </w:r>
      <w:r>
        <w:rPr>
          <w:b w:val="0"/>
          <w:bCs/>
        </w:rPr>
        <w:instrText xml:space="preserve"> TOC \f O \n \h \z \t "Observation" \c </w:instrText>
      </w:r>
      <w:r>
        <w:rPr>
          <w:b w:val="0"/>
          <w:bCs/>
        </w:rPr>
        <w:fldChar w:fldCharType="separate"/>
      </w:r>
      <w:hyperlink w:anchor="_Toc110962881" w:history="1">
        <w:r w:rsidR="00DC5C54" w:rsidRPr="006C20F9">
          <w:rPr>
            <w:rStyle w:val="Hyperlink"/>
            <w:noProof/>
          </w:rPr>
          <w:t>Observation 1</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The WID allows for the development of a new report to capture successful PSCell changes in DC scenario.</w:t>
        </w:r>
      </w:hyperlink>
    </w:p>
    <w:p w14:paraId="193F455E"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82" w:history="1">
        <w:r w:rsidR="00DC5C54" w:rsidRPr="006C20F9">
          <w:rPr>
            <w:rStyle w:val="Hyperlink"/>
            <w:noProof/>
          </w:rPr>
          <w:t>Observation 2</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Multiple PSCell change can take place while UE is connected to the same PCell and potentially multiple SPRs may be generated due to sub-optimal configuration in the PCell.</w:t>
        </w:r>
      </w:hyperlink>
    </w:p>
    <w:p w14:paraId="2B54F167"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83" w:history="1">
        <w:r w:rsidR="00DC5C54" w:rsidRPr="006C20F9">
          <w:rPr>
            <w:rStyle w:val="Hyperlink"/>
            <w:noProof/>
          </w:rPr>
          <w:t>Observation 3</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 xml:space="preserve">The WID allows for the development of </w:t>
        </w:r>
        <w:r w:rsidR="00DC5C54" w:rsidRPr="006C20F9">
          <w:rPr>
            <w:rStyle w:val="Hyperlink"/>
            <w:rFonts w:cs="Arial"/>
            <w:noProof/>
            <w:shd w:val="clear" w:color="auto" w:fill="FFFFFF"/>
          </w:rPr>
          <w:t>MRO for MR-DC SCG failure</w:t>
        </w:r>
        <w:r w:rsidR="00DC5C54" w:rsidRPr="006C20F9">
          <w:rPr>
            <w:rStyle w:val="Hyperlink"/>
            <w:noProof/>
          </w:rPr>
          <w:t>.</w:t>
        </w:r>
      </w:hyperlink>
    </w:p>
    <w:p w14:paraId="74BDD67B"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84" w:history="1">
        <w:r w:rsidR="00DC5C54" w:rsidRPr="006C20F9">
          <w:rPr>
            <w:rStyle w:val="Hyperlink"/>
            <w:noProof/>
          </w:rPr>
          <w:t>Observation 4</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If the SCG is deactivated at the time of the</w:t>
        </w:r>
        <w:r w:rsidR="00DC5C54" w:rsidRPr="006C20F9">
          <w:rPr>
            <w:rStyle w:val="Hyperlink"/>
            <w:noProof/>
            <w:lang w:val="en-US"/>
          </w:rPr>
          <w:t xml:space="preserve"> transmission of </w:t>
        </w:r>
        <w:r w:rsidR="00DC5C54" w:rsidRPr="006C20F9">
          <w:rPr>
            <w:rStyle w:val="Hyperlink"/>
            <w:i/>
            <w:noProof/>
            <w:lang w:val="en-US"/>
          </w:rPr>
          <w:t>MCGFailureInformation,</w:t>
        </w:r>
        <w:r w:rsidR="00DC5C54" w:rsidRPr="006C20F9">
          <w:rPr>
            <w:rStyle w:val="Hyperlink"/>
            <w:noProof/>
            <w:lang w:val="en-US"/>
          </w:rPr>
          <w:t xml:space="preserve"> the fast MCG link recovery procedure cannot be performed. It would be beneficial for the network to know this information as part of the RLF-Report so that the network can optimize the policies for SCG activation/deactivation.</w:t>
        </w:r>
      </w:hyperlink>
    </w:p>
    <w:p w14:paraId="31DA1343"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85" w:history="1">
        <w:r w:rsidR="00DC5C54" w:rsidRPr="006C20F9">
          <w:rPr>
            <w:rStyle w:val="Hyperlink"/>
            <w:noProof/>
          </w:rPr>
          <w:t>Observation 5</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If the SCG is suspended at the time of MCG RLF</w:t>
        </w:r>
        <w:r w:rsidR="00DC5C54" w:rsidRPr="006C20F9">
          <w:rPr>
            <w:rStyle w:val="Hyperlink"/>
            <w:i/>
            <w:noProof/>
            <w:lang w:val="en-US"/>
          </w:rPr>
          <w:t>,</w:t>
        </w:r>
        <w:r w:rsidR="00DC5C54" w:rsidRPr="006C20F9">
          <w:rPr>
            <w:rStyle w:val="Hyperlink"/>
            <w:noProof/>
            <w:lang w:val="en-US"/>
          </w:rPr>
          <w:t xml:space="preserve"> the fast MCG link recovery procedure cannot be performed and the SCGFailureInformation message cannot be sent either to the MCG. It would be beneficial for the network to know this information as part of the RLF-Report so that the reason of the SCG failure can be analyzed properly</w:t>
        </w:r>
        <w:r w:rsidR="00DC5C54" w:rsidRPr="006C20F9">
          <w:rPr>
            <w:rStyle w:val="Hyperlink"/>
            <w:noProof/>
          </w:rPr>
          <w:t>.</w:t>
        </w:r>
      </w:hyperlink>
    </w:p>
    <w:p w14:paraId="1621BE72"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86" w:history="1">
        <w:r w:rsidR="00DC5C54" w:rsidRPr="006C20F9">
          <w:rPr>
            <w:rStyle w:val="Hyperlink"/>
            <w:noProof/>
          </w:rPr>
          <w:t>Observation 6</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If the UE selects a suitable E-UTRA after experiencing HOF for a handover performed due to voice fallback reason, the UE selects a suitable E-UTRA, the UE doesn’t perform a re-establishment procedure.</w:t>
        </w:r>
      </w:hyperlink>
    </w:p>
    <w:p w14:paraId="2793CB5F"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87" w:history="1">
        <w:r w:rsidR="00DC5C54" w:rsidRPr="006C20F9">
          <w:rPr>
            <w:rStyle w:val="Hyperlink"/>
            <w:noProof/>
          </w:rPr>
          <w:t>Observation 7</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 xml:space="preserve">It would be beneficial to log the suitable LTE cell as part of </w:t>
        </w:r>
        <w:r w:rsidR="00DC5C54" w:rsidRPr="006C20F9">
          <w:rPr>
            <w:rStyle w:val="Hyperlink"/>
            <w:i/>
            <w:iCs/>
            <w:noProof/>
          </w:rPr>
          <w:t>voiceFallBack</w:t>
        </w:r>
        <w:r w:rsidR="00DC5C54" w:rsidRPr="006C20F9">
          <w:rPr>
            <w:rStyle w:val="Hyperlink"/>
            <w:noProof/>
          </w:rPr>
          <w:t xml:space="preserve"> procedure, so the network can optimize the next handovers with a better LTE target cell.</w:t>
        </w:r>
      </w:hyperlink>
    </w:p>
    <w:p w14:paraId="6BEDB893"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88" w:history="1">
        <w:r w:rsidR="00DC5C54" w:rsidRPr="006C20F9">
          <w:rPr>
            <w:rStyle w:val="Hyperlink"/>
            <w:noProof/>
          </w:rPr>
          <w:t>Observation 8</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If network performs MobilityFromNR with voicefallback indication for a UE that just arrived to the connected state, the network may not have enough time to configure the UE with RRM measurements, hence providing additional measurements when the UE fails in MobilityFromNR would be beneficial for the next HOs optimization.</w:t>
        </w:r>
      </w:hyperlink>
    </w:p>
    <w:p w14:paraId="19CEE108"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89" w:history="1">
        <w:r w:rsidR="00DC5C54" w:rsidRPr="006C20F9">
          <w:rPr>
            <w:rStyle w:val="Hyperlink"/>
            <w:noProof/>
          </w:rPr>
          <w:t>Observation 9</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The WID allows for the development of Inter-RAT SHR for the improvement of NR, but not for the improvement of E-UTRA.</w:t>
        </w:r>
      </w:hyperlink>
    </w:p>
    <w:p w14:paraId="309BACAD"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90" w:history="1">
        <w:r w:rsidR="00DC5C54" w:rsidRPr="006C20F9">
          <w:rPr>
            <w:rStyle w:val="Hyperlink"/>
            <w:noProof/>
          </w:rPr>
          <w:t>Observation 10</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Both handovers from NR to E-UTRA and handovers from E-UTRA to NR can generate SHRs, however with limited triggering support compared to intra-NR handovers.</w:t>
        </w:r>
      </w:hyperlink>
    </w:p>
    <w:p w14:paraId="5F3C283C"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91" w:history="1">
        <w:r w:rsidR="00DC5C54" w:rsidRPr="006C20F9">
          <w:rPr>
            <w:rStyle w:val="Hyperlink"/>
            <w:noProof/>
          </w:rPr>
          <w:t>Observation 11</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HO interruption time for legacy HOs (or CHO) can assist the network to decide whether configuring DAOPS bearer is required or not.</w:t>
        </w:r>
      </w:hyperlink>
    </w:p>
    <w:p w14:paraId="21E07943"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92" w:history="1">
        <w:r w:rsidR="00DC5C54" w:rsidRPr="006C20F9">
          <w:rPr>
            <w:rStyle w:val="Hyperlink"/>
            <w:noProof/>
          </w:rPr>
          <w:t>Observation 12</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It is beneficial for network optimization to know whether the RA report is associated to random access procedure executed toward a cell acting as SCG or MCG.</w:t>
        </w:r>
      </w:hyperlink>
    </w:p>
    <w:p w14:paraId="3B98D5A8"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93" w:history="1">
        <w:r w:rsidR="00DC5C54" w:rsidRPr="006C20F9">
          <w:rPr>
            <w:rStyle w:val="Hyperlink"/>
            <w:noProof/>
          </w:rPr>
          <w:t>Observation 13</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RA resources can be partitioned and every partition can be allocated to a limited set of features.</w:t>
        </w:r>
      </w:hyperlink>
    </w:p>
    <w:p w14:paraId="71497175" w14:textId="77777777" w:rsidR="00DC5C54"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2894" w:history="1">
        <w:r w:rsidR="00DC5C54" w:rsidRPr="006C20F9">
          <w:rPr>
            <w:rStyle w:val="Hyperlink"/>
            <w:noProof/>
          </w:rPr>
          <w:t>Observation 14</w:t>
        </w:r>
        <w:r w:rsidR="00DC5C54">
          <w:rPr>
            <w:rFonts w:asciiTheme="minorHAnsi" w:eastAsiaTheme="minorEastAsia" w:hAnsiTheme="minorHAnsi" w:cstheme="minorBidi"/>
            <w:b w:val="0"/>
            <w:noProof/>
            <w:sz w:val="24"/>
            <w:szCs w:val="24"/>
            <w:lang w:val="en-US" w:eastAsia="en-GB"/>
          </w:rPr>
          <w:tab/>
        </w:r>
        <w:r w:rsidR="00DC5C54" w:rsidRPr="006C20F9">
          <w:rPr>
            <w:rStyle w:val="Hyperlink"/>
            <w:noProof/>
          </w:rPr>
          <w:t>A gNB may reconfigure the RACH partitions based on the load over each partition.</w:t>
        </w:r>
      </w:hyperlink>
    </w:p>
    <w:p w14:paraId="71D0821D" w14:textId="29929722" w:rsidR="00BE7868" w:rsidRDefault="006F6582" w:rsidP="00864BE0">
      <w:pPr>
        <w:pStyle w:val="Observation"/>
        <w:numPr>
          <w:ilvl w:val="0"/>
          <w:numId w:val="0"/>
        </w:numPr>
        <w:ind w:left="1588"/>
      </w:pPr>
      <w:r>
        <w:fldChar w:fldCharType="end"/>
      </w:r>
    </w:p>
    <w:p w14:paraId="5E21CBE1" w14:textId="46B65366" w:rsidR="006E1C82" w:rsidRDefault="006E1C82" w:rsidP="00B17658">
      <w:pPr>
        <w:pStyle w:val="TableofFigures"/>
        <w:tabs>
          <w:tab w:val="right" w:leader="dot" w:pos="9629"/>
        </w:tabs>
        <w:rPr>
          <w:b w:val="0"/>
          <w:bCs/>
        </w:rPr>
      </w:pPr>
    </w:p>
    <w:p w14:paraId="51976DA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72AE970" w14:textId="77777777" w:rsidR="00A26528" w:rsidRDefault="006E1C82">
      <w:pPr>
        <w:pStyle w:val="TableofFigures"/>
        <w:tabs>
          <w:tab w:val="right" w:leader="dot" w:pos="9629"/>
        </w:tabs>
        <w:rPr>
          <w:rFonts w:asciiTheme="minorHAnsi" w:eastAsiaTheme="minorEastAsia" w:hAnsiTheme="minorHAnsi" w:cstheme="minorBidi"/>
          <w:b w:val="0"/>
          <w:sz w:val="24"/>
          <w:szCs w:val="24"/>
          <w:lang w:val="en-US"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63450" w:history="1">
        <w:r w:rsidR="00A26528" w:rsidRPr="003070EF">
          <w:rPr>
            <w:rStyle w:val="Hyperlink"/>
            <w:noProof/>
          </w:rPr>
          <w:t>Proposal 1</w:t>
        </w:r>
        <w:r w:rsidR="00A26528">
          <w:rPr>
            <w:rFonts w:asciiTheme="minorHAnsi" w:eastAsiaTheme="minorEastAsia" w:hAnsiTheme="minorHAnsi" w:cstheme="minorBidi"/>
            <w:b w:val="0"/>
            <w:noProof/>
            <w:sz w:val="24"/>
            <w:szCs w:val="24"/>
            <w:lang w:val="en-US" w:eastAsia="en-GB"/>
          </w:rPr>
          <w:tab/>
        </w:r>
        <w:r w:rsidR="00A26528" w:rsidRPr="003070EF">
          <w:rPr>
            <w:rStyle w:val="Hyperlink"/>
            <w:noProof/>
          </w:rPr>
          <w:t>RAN2 prioritize NR-DC scenario for successful PSCell change/addition report.</w:t>
        </w:r>
      </w:hyperlink>
    </w:p>
    <w:p w14:paraId="644A23B5" w14:textId="77777777" w:rsidR="00A26528"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3451" w:history="1">
        <w:r w:rsidR="00A26528" w:rsidRPr="003070EF">
          <w:rPr>
            <w:rStyle w:val="Hyperlink"/>
            <w:noProof/>
          </w:rPr>
          <w:t>Proposal 2</w:t>
        </w:r>
        <w:r w:rsidR="00A26528">
          <w:rPr>
            <w:rFonts w:asciiTheme="minorHAnsi" w:eastAsiaTheme="minorEastAsia" w:hAnsiTheme="minorHAnsi" w:cstheme="minorBidi"/>
            <w:b w:val="0"/>
            <w:noProof/>
            <w:sz w:val="24"/>
            <w:szCs w:val="24"/>
            <w:lang w:val="en-US" w:eastAsia="en-GB"/>
          </w:rPr>
          <w:tab/>
        </w:r>
        <w:r w:rsidR="00A26528" w:rsidRPr="003070EF">
          <w:rPr>
            <w:rStyle w:val="Hyperlink"/>
            <w:noProof/>
          </w:rPr>
          <w:t>Both successful PSCell addition and PSCell changes are considered as part of the successful PSCell report (SPR).</w:t>
        </w:r>
      </w:hyperlink>
    </w:p>
    <w:p w14:paraId="0B48D589" w14:textId="77777777" w:rsidR="00A26528"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3452" w:history="1">
        <w:r w:rsidR="00A26528" w:rsidRPr="003070EF">
          <w:rPr>
            <w:rStyle w:val="Hyperlink"/>
            <w:noProof/>
          </w:rPr>
          <w:t>Proposal 3</w:t>
        </w:r>
        <w:r w:rsidR="00A26528">
          <w:rPr>
            <w:rFonts w:asciiTheme="minorHAnsi" w:eastAsiaTheme="minorEastAsia" w:hAnsiTheme="minorHAnsi" w:cstheme="minorBidi"/>
            <w:b w:val="0"/>
            <w:noProof/>
            <w:sz w:val="24"/>
            <w:szCs w:val="24"/>
            <w:lang w:val="en-US" w:eastAsia="en-GB"/>
          </w:rPr>
          <w:tab/>
        </w:r>
        <w:r w:rsidR="00A26528" w:rsidRPr="003070EF">
          <w:rPr>
            <w:rStyle w:val="Hyperlink"/>
            <w:noProof/>
          </w:rPr>
          <w:t>RAN2 to develop a new report that consists of a list of successful PSCell reports generated due to successful PSCell changes or addition under a given PCell.</w:t>
        </w:r>
      </w:hyperlink>
    </w:p>
    <w:p w14:paraId="0434A923" w14:textId="77777777" w:rsidR="00A26528"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3453" w:history="1">
        <w:r w:rsidR="00A26528" w:rsidRPr="003070EF">
          <w:rPr>
            <w:rStyle w:val="Hyperlink"/>
            <w:noProof/>
          </w:rPr>
          <w:t>Proposal 4</w:t>
        </w:r>
        <w:r w:rsidR="00A26528">
          <w:rPr>
            <w:rFonts w:asciiTheme="minorHAnsi" w:eastAsiaTheme="minorEastAsia" w:hAnsiTheme="minorHAnsi" w:cstheme="minorBidi"/>
            <w:b w:val="0"/>
            <w:noProof/>
            <w:sz w:val="24"/>
            <w:szCs w:val="24"/>
            <w:lang w:val="en-US" w:eastAsia="en-GB"/>
          </w:rPr>
          <w:tab/>
        </w:r>
        <w:r w:rsidR="00A26528" w:rsidRPr="003070EF">
          <w:rPr>
            <w:rStyle w:val="Hyperlink"/>
            <w:noProof/>
            <w:lang w:val="en-US"/>
          </w:rPr>
          <w:t xml:space="preserve">If the SCG was </w:t>
        </w:r>
        <w:r w:rsidR="00A26528" w:rsidRPr="003070EF">
          <w:rPr>
            <w:rStyle w:val="Hyperlink"/>
            <w:noProof/>
          </w:rPr>
          <w:t>suspended or deactivated at the time of transmission of MCGFailureInformation, the UE stores information concerning the SCG and the failed MCGFailureInformation in RLF report.</w:t>
        </w:r>
      </w:hyperlink>
    </w:p>
    <w:p w14:paraId="73495850" w14:textId="77777777" w:rsidR="00A26528"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3454" w:history="1">
        <w:r w:rsidR="00A26528" w:rsidRPr="003070EF">
          <w:rPr>
            <w:rStyle w:val="Hyperlink"/>
            <w:noProof/>
          </w:rPr>
          <w:t>Proposal 5</w:t>
        </w:r>
        <w:r w:rsidR="00A26528">
          <w:rPr>
            <w:rFonts w:asciiTheme="minorHAnsi" w:eastAsiaTheme="minorEastAsia" w:hAnsiTheme="minorHAnsi" w:cstheme="minorBidi"/>
            <w:b w:val="0"/>
            <w:noProof/>
            <w:sz w:val="24"/>
            <w:szCs w:val="24"/>
            <w:lang w:val="en-US" w:eastAsia="en-GB"/>
          </w:rPr>
          <w:tab/>
        </w:r>
        <w:r w:rsidR="00A26528" w:rsidRPr="003070EF">
          <w:rPr>
            <w:rStyle w:val="Hyperlink"/>
            <w:noProof/>
          </w:rPr>
          <w:t xml:space="preserve">The suitable LTE cell that UE selects after HOF due to voiceFallback can be included as </w:t>
        </w:r>
        <w:r w:rsidR="00A26528" w:rsidRPr="003070EF">
          <w:rPr>
            <w:rStyle w:val="Hyperlink"/>
            <w:i/>
            <w:noProof/>
          </w:rPr>
          <w:t>reestablishementCellId</w:t>
        </w:r>
        <w:r w:rsidR="00A26528" w:rsidRPr="003070EF">
          <w:rPr>
            <w:rStyle w:val="Hyperlink"/>
            <w:noProof/>
          </w:rPr>
          <w:t xml:space="preserve"> in the RLF report.</w:t>
        </w:r>
      </w:hyperlink>
    </w:p>
    <w:p w14:paraId="5FCDE288" w14:textId="77777777" w:rsidR="00A26528"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3455" w:history="1">
        <w:r w:rsidR="00A26528" w:rsidRPr="003070EF">
          <w:rPr>
            <w:rStyle w:val="Hyperlink"/>
            <w:noProof/>
          </w:rPr>
          <w:t>Proposal 6</w:t>
        </w:r>
        <w:r w:rsidR="00A26528">
          <w:rPr>
            <w:rFonts w:asciiTheme="minorHAnsi" w:eastAsiaTheme="minorEastAsia" w:hAnsiTheme="minorHAnsi" w:cstheme="minorBidi"/>
            <w:b w:val="0"/>
            <w:noProof/>
            <w:sz w:val="24"/>
            <w:szCs w:val="24"/>
            <w:lang w:val="en-US" w:eastAsia="en-GB"/>
          </w:rPr>
          <w:tab/>
        </w:r>
        <w:r w:rsidR="00A26528" w:rsidRPr="003070EF">
          <w:rPr>
            <w:rStyle w:val="Hyperlink"/>
            <w:noProof/>
          </w:rPr>
          <w:t>RAN2 study the scenario in which the UE fails in HO with voice fall back right upon coming to connected mode.</w:t>
        </w:r>
      </w:hyperlink>
    </w:p>
    <w:p w14:paraId="787863C7" w14:textId="77777777" w:rsidR="00A26528"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3456" w:history="1">
        <w:r w:rsidR="00A26528" w:rsidRPr="003070EF">
          <w:rPr>
            <w:rStyle w:val="Hyperlink"/>
            <w:noProof/>
          </w:rPr>
          <w:t>Proposal 7</w:t>
        </w:r>
        <w:r w:rsidR="00A26528">
          <w:rPr>
            <w:rFonts w:asciiTheme="minorHAnsi" w:eastAsiaTheme="minorEastAsia" w:hAnsiTheme="minorHAnsi" w:cstheme="minorBidi"/>
            <w:b w:val="0"/>
            <w:noProof/>
            <w:sz w:val="24"/>
            <w:szCs w:val="24"/>
            <w:lang w:val="en-US" w:eastAsia="en-GB"/>
          </w:rPr>
          <w:tab/>
        </w:r>
        <w:r w:rsidR="00A26528" w:rsidRPr="003070EF">
          <w:rPr>
            <w:rStyle w:val="Hyperlink"/>
            <w:noProof/>
          </w:rPr>
          <w:t>RAN2 to develop an Inter-RAT Successful Handover Report for improving NR mobility i.e., only gNB provides the SHR triggering configuration. No changes on E-UTRA is foreseen for inter-RAT SHR.</w:t>
        </w:r>
      </w:hyperlink>
    </w:p>
    <w:p w14:paraId="69E1E52A" w14:textId="77777777" w:rsidR="00A26528"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3459" w:history="1">
        <w:r w:rsidR="00A26528" w:rsidRPr="003070EF">
          <w:rPr>
            <w:rStyle w:val="Hyperlink"/>
            <w:noProof/>
          </w:rPr>
          <w:t>Proposal 8</w:t>
        </w:r>
        <w:r w:rsidR="00A26528">
          <w:rPr>
            <w:rFonts w:asciiTheme="minorHAnsi" w:eastAsiaTheme="minorEastAsia" w:hAnsiTheme="minorHAnsi" w:cstheme="minorBidi"/>
            <w:b w:val="0"/>
            <w:noProof/>
            <w:sz w:val="24"/>
            <w:szCs w:val="24"/>
            <w:lang w:val="en-US" w:eastAsia="en-GB"/>
          </w:rPr>
          <w:tab/>
        </w:r>
        <w:r w:rsidR="00A26528" w:rsidRPr="003070EF">
          <w:rPr>
            <w:rStyle w:val="Hyperlink"/>
            <w:noProof/>
          </w:rPr>
          <w:t>The UE logs the user plane interruption time as part of SHR for legacy HO and conditional HO.</w:t>
        </w:r>
      </w:hyperlink>
    </w:p>
    <w:p w14:paraId="10ADD82E" w14:textId="77777777" w:rsidR="00A26528" w:rsidRDefault="00A2652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3461" w:history="1">
        <w:r w:rsidRPr="003070EF">
          <w:rPr>
            <w:rStyle w:val="Hyperlink"/>
            <w:noProof/>
          </w:rPr>
          <w:t>Proposal 9</w:t>
        </w:r>
        <w:r>
          <w:rPr>
            <w:rFonts w:asciiTheme="minorHAnsi" w:eastAsiaTheme="minorEastAsia" w:hAnsiTheme="minorHAnsi" w:cstheme="minorBidi"/>
            <w:b w:val="0"/>
            <w:sz w:val="24"/>
            <w:szCs w:val="24"/>
            <w:lang w:val="en-US" w:eastAsia="en-GB"/>
          </w:rPr>
          <w:tab/>
        </w:r>
        <w:r w:rsidRPr="003070EF">
          <w:rPr>
            <w:rStyle w:val="Hyperlink"/>
            <w:noProof/>
          </w:rPr>
          <w:t>Add a threshold on the user plane interruption time as a triggering condition for the SHR generation.</w:t>
        </w:r>
      </w:hyperlink>
    </w:p>
    <w:p w14:paraId="784B295C" w14:textId="77777777" w:rsidR="00A26528"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3462" w:history="1">
        <w:r w:rsidR="00A26528" w:rsidRPr="003070EF">
          <w:rPr>
            <w:rStyle w:val="Hyperlink"/>
            <w:noProof/>
            <w:lang w:val="en-US"/>
          </w:rPr>
          <w:t>Proposal 10</w:t>
        </w:r>
        <w:r w:rsidR="00A26528">
          <w:rPr>
            <w:rFonts w:asciiTheme="minorHAnsi" w:eastAsiaTheme="minorEastAsia" w:hAnsiTheme="minorHAnsi" w:cstheme="minorBidi"/>
            <w:b w:val="0"/>
            <w:noProof/>
            <w:sz w:val="24"/>
            <w:szCs w:val="24"/>
            <w:lang w:val="en-US" w:eastAsia="en-GB"/>
          </w:rPr>
          <w:tab/>
        </w:r>
        <w:r w:rsidR="00A26528" w:rsidRPr="003070EF">
          <w:rPr>
            <w:rStyle w:val="Hyperlink"/>
            <w:noProof/>
            <w:lang w:val="en-US"/>
          </w:rPr>
          <w:t>Include information in the RA report on whether the random access procedure was executed towards MCG or SCG.</w:t>
        </w:r>
      </w:hyperlink>
    </w:p>
    <w:p w14:paraId="767EA7A7" w14:textId="77777777" w:rsidR="00A26528" w:rsidRDefault="008E49B8">
      <w:pPr>
        <w:pStyle w:val="TableofFigures"/>
        <w:tabs>
          <w:tab w:val="right" w:leader="dot" w:pos="9629"/>
        </w:tabs>
        <w:rPr>
          <w:rFonts w:asciiTheme="minorHAnsi" w:eastAsiaTheme="minorEastAsia" w:hAnsiTheme="minorHAnsi" w:cstheme="minorBidi"/>
          <w:b w:val="0"/>
          <w:sz w:val="24"/>
          <w:szCs w:val="24"/>
          <w:lang w:val="en-US" w:eastAsia="en-GB"/>
        </w:rPr>
      </w:pPr>
      <w:hyperlink w:anchor="_Toc110963463" w:history="1">
        <w:r w:rsidR="00A26528" w:rsidRPr="003070EF">
          <w:rPr>
            <w:rStyle w:val="Hyperlink"/>
            <w:noProof/>
          </w:rPr>
          <w:t>Proposal 11</w:t>
        </w:r>
        <w:r w:rsidR="00A26528">
          <w:rPr>
            <w:rFonts w:asciiTheme="minorHAnsi" w:eastAsiaTheme="minorEastAsia" w:hAnsiTheme="minorHAnsi" w:cstheme="minorBidi"/>
            <w:b w:val="0"/>
            <w:noProof/>
            <w:sz w:val="24"/>
            <w:szCs w:val="24"/>
            <w:lang w:val="en-US" w:eastAsia="en-GB"/>
          </w:rPr>
          <w:tab/>
        </w:r>
        <w:r w:rsidR="00A26528" w:rsidRPr="003070EF">
          <w:rPr>
            <w:rStyle w:val="Hyperlink"/>
            <w:noProof/>
            <w:lang w:val="en-US"/>
          </w:rPr>
          <w:t>RAN2 consider RA partitioning related information in RA report for feature-based RACH configuration optimization</w:t>
        </w:r>
        <w:r w:rsidR="00A26528" w:rsidRPr="003070EF">
          <w:rPr>
            <w:rStyle w:val="Hyperlink"/>
            <w:noProof/>
          </w:rPr>
          <w:t>.</w:t>
        </w:r>
      </w:hyperlink>
    </w:p>
    <w:p w14:paraId="188641FE" w14:textId="73F2ADF9" w:rsidR="00BE7868" w:rsidRDefault="006E1C82" w:rsidP="00864BE0">
      <w:pPr>
        <w:pStyle w:val="Proposal"/>
        <w:numPr>
          <w:ilvl w:val="0"/>
          <w:numId w:val="0"/>
        </w:numPr>
        <w:ind w:left="1304"/>
      </w:pPr>
      <w:r>
        <w:rPr>
          <w:lang w:val="en-US"/>
        </w:rPr>
        <w:fldChar w:fldCharType="end"/>
      </w:r>
    </w:p>
    <w:p w14:paraId="6D3FF599" w14:textId="5ED5FDF6" w:rsidR="00C01F33" w:rsidRPr="00CE0424" w:rsidRDefault="00C01F33" w:rsidP="00727AD0">
      <w:pPr>
        <w:pStyle w:val="TableofFigures"/>
        <w:tabs>
          <w:tab w:val="right" w:leader="dot" w:pos="9629"/>
        </w:tabs>
        <w:ind w:left="0" w:firstLine="0"/>
      </w:pPr>
    </w:p>
    <w:p w14:paraId="49BDEB56" w14:textId="77777777" w:rsidR="00F507D1" w:rsidRPr="00CE0424" w:rsidRDefault="00F507D1" w:rsidP="00CE0424">
      <w:pPr>
        <w:pStyle w:val="Heading1"/>
      </w:pPr>
      <w:bookmarkStart w:id="66" w:name="_In-sequence_SDU_delivery"/>
      <w:bookmarkEnd w:id="66"/>
      <w:r w:rsidRPr="00CE0424">
        <w:t>References</w:t>
      </w:r>
    </w:p>
    <w:p w14:paraId="15FA2CB8" w14:textId="62C941BA" w:rsidR="005F3025" w:rsidRPr="00CE0424" w:rsidRDefault="005F3025" w:rsidP="00311702">
      <w:pPr>
        <w:pStyle w:val="Reference"/>
      </w:pPr>
      <w:bookmarkStart w:id="67" w:name="_Ref174151459"/>
      <w:bookmarkStart w:id="68" w:name="_Ref189809556"/>
      <w:proofErr w:type="spellStart"/>
      <w:r w:rsidRPr="00CE0424">
        <w:t>Tdoc</w:t>
      </w:r>
      <w:proofErr w:type="spellEnd"/>
      <w:r w:rsidRPr="00CE0424">
        <w:t xml:space="preserve"> Number, Title, Source, Meeting, Date</w:t>
      </w:r>
    </w:p>
    <w:p w14:paraId="39924697" w14:textId="77777777" w:rsidR="005F3025" w:rsidRPr="00CE0424" w:rsidRDefault="005F3025" w:rsidP="00311702">
      <w:pPr>
        <w:pStyle w:val="Reference"/>
      </w:pPr>
      <w:r w:rsidRPr="00CE0424">
        <w:t>Spec number, Title, Source, Version, Date</w:t>
      </w:r>
    </w:p>
    <w:bookmarkEnd w:id="67"/>
    <w:bookmarkEnd w:id="68"/>
    <w:p w14:paraId="3BAAEE17"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FA92D" w14:textId="77777777" w:rsidR="00D90035" w:rsidRDefault="00D90035">
      <w:r>
        <w:separator/>
      </w:r>
    </w:p>
  </w:endnote>
  <w:endnote w:type="continuationSeparator" w:id="0">
    <w:p w14:paraId="592BD230" w14:textId="77777777" w:rsidR="00D90035" w:rsidRDefault="00D90035">
      <w:r>
        <w:continuationSeparator/>
      </w:r>
    </w:p>
  </w:endnote>
  <w:endnote w:type="continuationNotice" w:id="1">
    <w:p w14:paraId="76A9F401" w14:textId="77777777" w:rsidR="003A6FD0" w:rsidRDefault="003A6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8A4B0" w14:textId="77777777" w:rsidR="00D90035" w:rsidRDefault="00D90035">
      <w:r>
        <w:separator/>
      </w:r>
    </w:p>
  </w:footnote>
  <w:footnote w:type="continuationSeparator" w:id="0">
    <w:p w14:paraId="7110D03B" w14:textId="77777777" w:rsidR="00D90035" w:rsidRDefault="00D90035">
      <w:r>
        <w:continuationSeparator/>
      </w:r>
    </w:p>
  </w:footnote>
  <w:footnote w:type="continuationNotice" w:id="1">
    <w:p w14:paraId="0FB90A47" w14:textId="77777777" w:rsidR="003A6FD0" w:rsidRDefault="003A6F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D0D18"/>
    <w:multiLevelType w:val="multilevel"/>
    <w:tmpl w:val="F49E0724"/>
    <w:lvl w:ilvl="0">
      <w:start w:val="7"/>
      <w:numFmt w:val="decimal"/>
      <w:lvlText w:val="%1"/>
      <w:lvlJc w:val="left"/>
      <w:pPr>
        <w:ind w:left="440" w:hanging="440"/>
      </w:pPr>
      <w:rPr>
        <w:rFonts w:ascii="Arial" w:hAnsi="Arial" w:cs="Times New Roman" w:hint="default"/>
      </w:rPr>
    </w:lvl>
    <w:lvl w:ilvl="1">
      <w:start w:val="2"/>
      <w:numFmt w:val="decimal"/>
      <w:lvlText w:val="%1.%2"/>
      <w:lvlJc w:val="left"/>
      <w:pPr>
        <w:ind w:left="720" w:hanging="720"/>
      </w:pPr>
      <w:rPr>
        <w:rFonts w:ascii="Arial" w:hAnsi="Arial" w:cs="Times New Roman" w:hint="default"/>
      </w:rPr>
    </w:lvl>
    <w:lvl w:ilvl="2">
      <w:start w:val="1"/>
      <w:numFmt w:val="decimal"/>
      <w:lvlText w:val="%1.%2.%3"/>
      <w:lvlJc w:val="left"/>
      <w:pPr>
        <w:ind w:left="720" w:hanging="720"/>
      </w:pPr>
      <w:rPr>
        <w:rFonts w:ascii="Arial" w:hAnsi="Arial" w:cs="Times New Roman" w:hint="default"/>
      </w:rPr>
    </w:lvl>
    <w:lvl w:ilvl="3">
      <w:start w:val="1"/>
      <w:numFmt w:val="lowerRoman"/>
      <w:lvlText w:val="%1.%2.%3.%4"/>
      <w:lvlJc w:val="left"/>
      <w:pPr>
        <w:ind w:left="1440" w:hanging="1440"/>
      </w:pPr>
      <w:rPr>
        <w:rFonts w:ascii="Arial" w:hAnsi="Arial" w:cs="Times New Roman" w:hint="default"/>
      </w:rPr>
    </w:lvl>
    <w:lvl w:ilvl="4">
      <w:start w:val="1"/>
      <w:numFmt w:val="decimal"/>
      <w:lvlText w:val="%1.%2.%3.%4.%5"/>
      <w:lvlJc w:val="left"/>
      <w:pPr>
        <w:ind w:left="1440" w:hanging="1440"/>
      </w:pPr>
      <w:rPr>
        <w:rFonts w:ascii="Arial" w:hAnsi="Arial" w:cs="Times New Roman" w:hint="default"/>
      </w:rPr>
    </w:lvl>
    <w:lvl w:ilvl="5">
      <w:start w:val="1"/>
      <w:numFmt w:val="decimal"/>
      <w:lvlText w:val="%1.%2.%3.%4.%5.%6"/>
      <w:lvlJc w:val="left"/>
      <w:pPr>
        <w:ind w:left="1440" w:hanging="1440"/>
      </w:pPr>
      <w:rPr>
        <w:rFonts w:ascii="Arial" w:hAnsi="Arial" w:cs="Times New Roman" w:hint="default"/>
      </w:rPr>
    </w:lvl>
    <w:lvl w:ilvl="6">
      <w:start w:val="1"/>
      <w:numFmt w:val="decimal"/>
      <w:lvlText w:val="%1.%2.%3.%4.%5.%6.%7"/>
      <w:lvlJc w:val="left"/>
      <w:pPr>
        <w:ind w:left="1800" w:hanging="1800"/>
      </w:pPr>
      <w:rPr>
        <w:rFonts w:ascii="Arial" w:hAnsi="Arial" w:cs="Times New Roman" w:hint="default"/>
      </w:rPr>
    </w:lvl>
    <w:lvl w:ilvl="7">
      <w:start w:val="1"/>
      <w:numFmt w:val="decimal"/>
      <w:lvlText w:val="%1.%2.%3.%4.%5.%6.%7.%8"/>
      <w:lvlJc w:val="left"/>
      <w:pPr>
        <w:ind w:left="2160" w:hanging="2160"/>
      </w:pPr>
      <w:rPr>
        <w:rFonts w:ascii="Arial" w:hAnsi="Arial" w:cs="Times New Roman" w:hint="default"/>
      </w:rPr>
    </w:lvl>
    <w:lvl w:ilvl="8">
      <w:start w:val="1"/>
      <w:numFmt w:val="decimal"/>
      <w:lvlText w:val="%1.%2.%3.%4.%5.%6.%7.%8.%9"/>
      <w:lvlJc w:val="left"/>
      <w:pPr>
        <w:ind w:left="2160" w:hanging="2160"/>
      </w:pPr>
      <w:rPr>
        <w:rFonts w:ascii="Arial" w:hAnsi="Arial" w:cs="Times New Roman"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6A7869"/>
    <w:multiLevelType w:val="multilevel"/>
    <w:tmpl w:val="54C434B4"/>
    <w:lvl w:ilvl="0">
      <w:start w:val="6"/>
      <w:numFmt w:val="decimal"/>
      <w:lvlText w:val="%1"/>
      <w:lvlJc w:val="left"/>
      <w:pPr>
        <w:ind w:left="440" w:hanging="440"/>
      </w:pPr>
      <w:rPr>
        <w:rFonts w:ascii="Arial" w:hAnsi="Arial" w:cs="Times New Roman" w:hint="default"/>
      </w:rPr>
    </w:lvl>
    <w:lvl w:ilvl="1">
      <w:start w:val="2"/>
      <w:numFmt w:val="decimal"/>
      <w:lvlText w:val="%1.%2"/>
      <w:lvlJc w:val="left"/>
      <w:pPr>
        <w:ind w:left="720" w:hanging="720"/>
      </w:pPr>
      <w:rPr>
        <w:rFonts w:ascii="Arial" w:hAnsi="Arial" w:cs="Times New Roman" w:hint="default"/>
      </w:rPr>
    </w:lvl>
    <w:lvl w:ilvl="2">
      <w:start w:val="1"/>
      <w:numFmt w:val="decimal"/>
      <w:lvlText w:val="%1.%2.%3"/>
      <w:lvlJc w:val="left"/>
      <w:pPr>
        <w:ind w:left="720" w:hanging="720"/>
      </w:pPr>
      <w:rPr>
        <w:rFonts w:ascii="Arial" w:hAnsi="Arial" w:cs="Times New Roman" w:hint="default"/>
      </w:rPr>
    </w:lvl>
    <w:lvl w:ilvl="3">
      <w:start w:val="1"/>
      <w:numFmt w:val="decimal"/>
      <w:lvlText w:val="%1.%2.%3.%4"/>
      <w:lvlJc w:val="left"/>
      <w:pPr>
        <w:ind w:left="1080" w:hanging="1080"/>
      </w:pPr>
      <w:rPr>
        <w:rFonts w:ascii="Arial" w:hAnsi="Arial" w:cs="Times New Roman" w:hint="default"/>
      </w:rPr>
    </w:lvl>
    <w:lvl w:ilvl="4">
      <w:start w:val="1"/>
      <w:numFmt w:val="decimal"/>
      <w:lvlText w:val="%1.%2.%3.%4.%5"/>
      <w:lvlJc w:val="left"/>
      <w:pPr>
        <w:ind w:left="1440" w:hanging="1440"/>
      </w:pPr>
      <w:rPr>
        <w:rFonts w:ascii="Arial" w:hAnsi="Arial" w:cs="Times New Roman" w:hint="default"/>
      </w:rPr>
    </w:lvl>
    <w:lvl w:ilvl="5">
      <w:start w:val="1"/>
      <w:numFmt w:val="decimal"/>
      <w:lvlText w:val="%1.%2.%3.%4.%5.%6"/>
      <w:lvlJc w:val="left"/>
      <w:pPr>
        <w:ind w:left="1440" w:hanging="1440"/>
      </w:pPr>
      <w:rPr>
        <w:rFonts w:ascii="Arial" w:hAnsi="Arial" w:cs="Times New Roman" w:hint="default"/>
      </w:rPr>
    </w:lvl>
    <w:lvl w:ilvl="6">
      <w:start w:val="1"/>
      <w:numFmt w:val="decimal"/>
      <w:lvlText w:val="%1.%2.%3.%4.%5.%6.%7"/>
      <w:lvlJc w:val="left"/>
      <w:pPr>
        <w:ind w:left="1800" w:hanging="1800"/>
      </w:pPr>
      <w:rPr>
        <w:rFonts w:ascii="Arial" w:hAnsi="Arial" w:cs="Times New Roman" w:hint="default"/>
      </w:rPr>
    </w:lvl>
    <w:lvl w:ilvl="7">
      <w:start w:val="1"/>
      <w:numFmt w:val="decimal"/>
      <w:lvlText w:val="%1.%2.%3.%4.%5.%6.%7.%8"/>
      <w:lvlJc w:val="left"/>
      <w:pPr>
        <w:ind w:left="2160" w:hanging="2160"/>
      </w:pPr>
      <w:rPr>
        <w:rFonts w:ascii="Arial" w:hAnsi="Arial" w:cs="Times New Roman" w:hint="default"/>
      </w:rPr>
    </w:lvl>
    <w:lvl w:ilvl="8">
      <w:start w:val="1"/>
      <w:numFmt w:val="decimal"/>
      <w:lvlText w:val="%1.%2.%3.%4.%5.%6.%7.%8.%9"/>
      <w:lvlJc w:val="left"/>
      <w:pPr>
        <w:ind w:left="2160" w:hanging="2160"/>
      </w:pPr>
      <w:rPr>
        <w:rFonts w:ascii="Arial" w:hAnsi="Arial" w:cs="Times New Roman" w:hint="default"/>
      </w:rPr>
    </w:lvl>
  </w:abstractNum>
  <w:abstractNum w:abstractNumId="10" w15:restartNumberingAfterBreak="0">
    <w:nsid w:val="2CA5001E"/>
    <w:multiLevelType w:val="hybridMultilevel"/>
    <w:tmpl w:val="8EB09B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7988EA30"/>
    <w:lvl w:ilvl="0" w:tplc="AFF86C76">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996765369">
    <w:abstractNumId w:val="13"/>
  </w:num>
  <w:num w:numId="2" w16cid:durableId="1563178903">
    <w:abstractNumId w:val="12"/>
  </w:num>
  <w:num w:numId="3" w16cid:durableId="2007978900">
    <w:abstractNumId w:val="0"/>
  </w:num>
  <w:num w:numId="4" w16cid:durableId="2038770129">
    <w:abstractNumId w:val="14"/>
  </w:num>
  <w:num w:numId="5" w16cid:durableId="2110536876">
    <w:abstractNumId w:val="15"/>
  </w:num>
  <w:num w:numId="6" w16cid:durableId="1107702578">
    <w:abstractNumId w:val="16"/>
  </w:num>
  <w:num w:numId="7" w16cid:durableId="1899320623">
    <w:abstractNumId w:val="6"/>
  </w:num>
  <w:num w:numId="8" w16cid:durableId="1485585799">
    <w:abstractNumId w:val="8"/>
  </w:num>
  <w:num w:numId="9" w16cid:durableId="1781025066">
    <w:abstractNumId w:val="3"/>
  </w:num>
  <w:num w:numId="10" w16cid:durableId="24673712">
    <w:abstractNumId w:val="20"/>
  </w:num>
  <w:num w:numId="11" w16cid:durableId="354844627">
    <w:abstractNumId w:val="11"/>
  </w:num>
  <w:num w:numId="12" w16cid:durableId="169758137">
    <w:abstractNumId w:val="18"/>
  </w:num>
  <w:num w:numId="13" w16cid:durableId="1659647562">
    <w:abstractNumId w:val="19"/>
  </w:num>
  <w:num w:numId="14" w16cid:durableId="917597733">
    <w:abstractNumId w:val="5"/>
  </w:num>
  <w:num w:numId="15" w16cid:durableId="1783307720">
    <w:abstractNumId w:val="7"/>
  </w:num>
  <w:num w:numId="16" w16cid:durableId="1432506708">
    <w:abstractNumId w:val="14"/>
  </w:num>
  <w:num w:numId="17" w16cid:durableId="500436312">
    <w:abstractNumId w:val="1"/>
  </w:num>
  <w:num w:numId="18" w16cid:durableId="9639713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5739731">
    <w:abstractNumId w:val="17"/>
  </w:num>
  <w:num w:numId="20" w16cid:durableId="850408730">
    <w:abstractNumId w:val="4"/>
  </w:num>
  <w:num w:numId="21" w16cid:durableId="2082830869">
    <w:abstractNumId w:val="12"/>
    <w:lvlOverride w:ilvl="0">
      <w:startOverride w:val="6"/>
    </w:lvlOverride>
  </w:num>
  <w:num w:numId="22" w16cid:durableId="693268506">
    <w:abstractNumId w:val="9"/>
  </w:num>
  <w:num w:numId="23" w16cid:durableId="919603899">
    <w:abstractNumId w:val="14"/>
    <w:lvlOverride w:ilvl="0">
      <w:startOverride w:val="1"/>
    </w:lvlOverride>
  </w:num>
  <w:num w:numId="24" w16cid:durableId="969895192">
    <w:abstractNumId w:val="14"/>
    <w:lvlOverride w:ilvl="0">
      <w:startOverride w:val="1"/>
    </w:lvlOverride>
  </w:num>
  <w:num w:numId="25" w16cid:durableId="1529443600">
    <w:abstractNumId w:val="2"/>
  </w:num>
  <w:num w:numId="26" w16cid:durableId="423768518">
    <w:abstractNumId w:val="12"/>
    <w:lvlOverride w:ilvl="0">
      <w:startOverride w:val="1"/>
    </w:lvlOverride>
  </w:num>
  <w:num w:numId="27" w16cid:durableId="1676685916">
    <w:abstractNumId w:val="10"/>
  </w:num>
  <w:num w:numId="28" w16cid:durableId="232741014">
    <w:abstractNumId w:val="14"/>
    <w:lvlOverride w:ilvl="0">
      <w:startOverride w:val="1"/>
    </w:lvlOverride>
  </w:num>
  <w:num w:numId="29" w16cid:durableId="371732318">
    <w:abstractNumId w:val="14"/>
    <w:lvlOverride w:ilvl="0">
      <w:startOverride w:val="1"/>
    </w:lvlOverride>
  </w:num>
  <w:num w:numId="30" w16cid:durableId="145007917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2A37"/>
    <w:rsid w:val="0000564C"/>
    <w:rsid w:val="00005F01"/>
    <w:rsid w:val="00006446"/>
    <w:rsid w:val="00006896"/>
    <w:rsid w:val="00007CDC"/>
    <w:rsid w:val="00011B28"/>
    <w:rsid w:val="00015D15"/>
    <w:rsid w:val="00023986"/>
    <w:rsid w:val="00024195"/>
    <w:rsid w:val="00025245"/>
    <w:rsid w:val="000255D8"/>
    <w:rsid w:val="0002564D"/>
    <w:rsid w:val="00025ECA"/>
    <w:rsid w:val="00026B49"/>
    <w:rsid w:val="00027D1E"/>
    <w:rsid w:val="000305C9"/>
    <w:rsid w:val="00031C39"/>
    <w:rsid w:val="000325B8"/>
    <w:rsid w:val="00034C15"/>
    <w:rsid w:val="00036BA1"/>
    <w:rsid w:val="00036F50"/>
    <w:rsid w:val="000422E2"/>
    <w:rsid w:val="00042391"/>
    <w:rsid w:val="00042F22"/>
    <w:rsid w:val="000444EF"/>
    <w:rsid w:val="00046838"/>
    <w:rsid w:val="00052A07"/>
    <w:rsid w:val="000534E3"/>
    <w:rsid w:val="0005606A"/>
    <w:rsid w:val="00057117"/>
    <w:rsid w:val="00060F76"/>
    <w:rsid w:val="000615E1"/>
    <w:rsid w:val="000616E7"/>
    <w:rsid w:val="000647DB"/>
    <w:rsid w:val="0006487E"/>
    <w:rsid w:val="00065E1A"/>
    <w:rsid w:val="00066A00"/>
    <w:rsid w:val="00071A6E"/>
    <w:rsid w:val="00073C41"/>
    <w:rsid w:val="0007574B"/>
    <w:rsid w:val="00077610"/>
    <w:rsid w:val="00077E5F"/>
    <w:rsid w:val="0008036A"/>
    <w:rsid w:val="00080791"/>
    <w:rsid w:val="00081AE6"/>
    <w:rsid w:val="0008345C"/>
    <w:rsid w:val="000855EB"/>
    <w:rsid w:val="00085B52"/>
    <w:rsid w:val="00085B84"/>
    <w:rsid w:val="000866F2"/>
    <w:rsid w:val="0008736C"/>
    <w:rsid w:val="000879B3"/>
    <w:rsid w:val="00090052"/>
    <w:rsid w:val="0009009F"/>
    <w:rsid w:val="00091557"/>
    <w:rsid w:val="000924C1"/>
    <w:rsid w:val="000924F0"/>
    <w:rsid w:val="0009252D"/>
    <w:rsid w:val="00093474"/>
    <w:rsid w:val="0009510F"/>
    <w:rsid w:val="000A1B7B"/>
    <w:rsid w:val="000A21A6"/>
    <w:rsid w:val="000A56F2"/>
    <w:rsid w:val="000A6F29"/>
    <w:rsid w:val="000B2719"/>
    <w:rsid w:val="000B3A8F"/>
    <w:rsid w:val="000B4AB9"/>
    <w:rsid w:val="000B5809"/>
    <w:rsid w:val="000B58C3"/>
    <w:rsid w:val="000B61E9"/>
    <w:rsid w:val="000C165A"/>
    <w:rsid w:val="000C2E19"/>
    <w:rsid w:val="000C4697"/>
    <w:rsid w:val="000C6C19"/>
    <w:rsid w:val="000D0D07"/>
    <w:rsid w:val="000D3A25"/>
    <w:rsid w:val="000D4797"/>
    <w:rsid w:val="000D5C50"/>
    <w:rsid w:val="000E0527"/>
    <w:rsid w:val="000E1E92"/>
    <w:rsid w:val="000E5251"/>
    <w:rsid w:val="000F06D6"/>
    <w:rsid w:val="000F0E5C"/>
    <w:rsid w:val="000F0EB1"/>
    <w:rsid w:val="000F1106"/>
    <w:rsid w:val="000F24CB"/>
    <w:rsid w:val="000F3BE9"/>
    <w:rsid w:val="000F3E39"/>
    <w:rsid w:val="000F3F6C"/>
    <w:rsid w:val="000F6DF3"/>
    <w:rsid w:val="001005FF"/>
    <w:rsid w:val="0010314E"/>
    <w:rsid w:val="001062FB"/>
    <w:rsid w:val="001063E6"/>
    <w:rsid w:val="00113CF4"/>
    <w:rsid w:val="001153EA"/>
    <w:rsid w:val="00115643"/>
    <w:rsid w:val="00116765"/>
    <w:rsid w:val="001219F5"/>
    <w:rsid w:val="00121A20"/>
    <w:rsid w:val="00121ED4"/>
    <w:rsid w:val="0012377F"/>
    <w:rsid w:val="00124314"/>
    <w:rsid w:val="00126B4A"/>
    <w:rsid w:val="00132FD0"/>
    <w:rsid w:val="001344C0"/>
    <w:rsid w:val="00134508"/>
    <w:rsid w:val="001346FA"/>
    <w:rsid w:val="00135252"/>
    <w:rsid w:val="00137AB5"/>
    <w:rsid w:val="00137F0B"/>
    <w:rsid w:val="00140B8B"/>
    <w:rsid w:val="00140D92"/>
    <w:rsid w:val="00143257"/>
    <w:rsid w:val="0015118D"/>
    <w:rsid w:val="00151E23"/>
    <w:rsid w:val="0015255B"/>
    <w:rsid w:val="001526E0"/>
    <w:rsid w:val="001528B8"/>
    <w:rsid w:val="001539D9"/>
    <w:rsid w:val="001551B5"/>
    <w:rsid w:val="001575F1"/>
    <w:rsid w:val="001659C1"/>
    <w:rsid w:val="00167375"/>
    <w:rsid w:val="00172FA1"/>
    <w:rsid w:val="00173A8E"/>
    <w:rsid w:val="001742CE"/>
    <w:rsid w:val="0017502C"/>
    <w:rsid w:val="001805CE"/>
    <w:rsid w:val="0018143F"/>
    <w:rsid w:val="00181FF8"/>
    <w:rsid w:val="0018434E"/>
    <w:rsid w:val="00185C8D"/>
    <w:rsid w:val="00190AC1"/>
    <w:rsid w:val="0019341A"/>
    <w:rsid w:val="00193EF3"/>
    <w:rsid w:val="00196395"/>
    <w:rsid w:val="00196D38"/>
    <w:rsid w:val="00197DF9"/>
    <w:rsid w:val="001A1987"/>
    <w:rsid w:val="001A2564"/>
    <w:rsid w:val="001A3645"/>
    <w:rsid w:val="001A494D"/>
    <w:rsid w:val="001A6173"/>
    <w:rsid w:val="001A6CBA"/>
    <w:rsid w:val="001B0D97"/>
    <w:rsid w:val="001B20FC"/>
    <w:rsid w:val="001B3899"/>
    <w:rsid w:val="001B536E"/>
    <w:rsid w:val="001B5A5D"/>
    <w:rsid w:val="001B7B78"/>
    <w:rsid w:val="001C1CE5"/>
    <w:rsid w:val="001C1FDB"/>
    <w:rsid w:val="001C3D2A"/>
    <w:rsid w:val="001C6FB1"/>
    <w:rsid w:val="001D0878"/>
    <w:rsid w:val="001D2F8A"/>
    <w:rsid w:val="001D33E8"/>
    <w:rsid w:val="001D4020"/>
    <w:rsid w:val="001D51BA"/>
    <w:rsid w:val="001D53E7"/>
    <w:rsid w:val="001D6342"/>
    <w:rsid w:val="001D6D53"/>
    <w:rsid w:val="001D79CE"/>
    <w:rsid w:val="001E23BA"/>
    <w:rsid w:val="001E32BA"/>
    <w:rsid w:val="001E4AB4"/>
    <w:rsid w:val="001E58E2"/>
    <w:rsid w:val="001E7AED"/>
    <w:rsid w:val="001F08B4"/>
    <w:rsid w:val="001F0DFC"/>
    <w:rsid w:val="001F1F15"/>
    <w:rsid w:val="001F3916"/>
    <w:rsid w:val="001F54C5"/>
    <w:rsid w:val="001F662C"/>
    <w:rsid w:val="001F7074"/>
    <w:rsid w:val="00200490"/>
    <w:rsid w:val="00201344"/>
    <w:rsid w:val="00201F3A"/>
    <w:rsid w:val="00203F96"/>
    <w:rsid w:val="002069B2"/>
    <w:rsid w:val="00207FA3"/>
    <w:rsid w:val="002113A1"/>
    <w:rsid w:val="00214DA8"/>
    <w:rsid w:val="00215423"/>
    <w:rsid w:val="002158FA"/>
    <w:rsid w:val="00220600"/>
    <w:rsid w:val="002224DB"/>
    <w:rsid w:val="002225B1"/>
    <w:rsid w:val="00223FCB"/>
    <w:rsid w:val="00224619"/>
    <w:rsid w:val="002252C3"/>
    <w:rsid w:val="002258E1"/>
    <w:rsid w:val="00225C54"/>
    <w:rsid w:val="00227241"/>
    <w:rsid w:val="00227BAE"/>
    <w:rsid w:val="00230765"/>
    <w:rsid w:val="00230B84"/>
    <w:rsid w:val="00230D18"/>
    <w:rsid w:val="002319E4"/>
    <w:rsid w:val="00235632"/>
    <w:rsid w:val="00235872"/>
    <w:rsid w:val="00237605"/>
    <w:rsid w:val="00241559"/>
    <w:rsid w:val="002435B3"/>
    <w:rsid w:val="002436CF"/>
    <w:rsid w:val="0024396B"/>
    <w:rsid w:val="00243C85"/>
    <w:rsid w:val="00245153"/>
    <w:rsid w:val="002458EB"/>
    <w:rsid w:val="00247070"/>
    <w:rsid w:val="002500C8"/>
    <w:rsid w:val="00252593"/>
    <w:rsid w:val="00253BAC"/>
    <w:rsid w:val="00255B53"/>
    <w:rsid w:val="00255E96"/>
    <w:rsid w:val="00257543"/>
    <w:rsid w:val="002617E7"/>
    <w:rsid w:val="00264228"/>
    <w:rsid w:val="00264334"/>
    <w:rsid w:val="0026473E"/>
    <w:rsid w:val="00265FC2"/>
    <w:rsid w:val="00266214"/>
    <w:rsid w:val="00267C83"/>
    <w:rsid w:val="0027144F"/>
    <w:rsid w:val="00271813"/>
    <w:rsid w:val="00271F3A"/>
    <w:rsid w:val="00273278"/>
    <w:rsid w:val="002737F4"/>
    <w:rsid w:val="00276D61"/>
    <w:rsid w:val="002771FB"/>
    <w:rsid w:val="002805F5"/>
    <w:rsid w:val="00280751"/>
    <w:rsid w:val="0028280A"/>
    <w:rsid w:val="00285379"/>
    <w:rsid w:val="00286ACD"/>
    <w:rsid w:val="00287838"/>
    <w:rsid w:val="002907B5"/>
    <w:rsid w:val="0029113B"/>
    <w:rsid w:val="00291340"/>
    <w:rsid w:val="00292EB7"/>
    <w:rsid w:val="0029495B"/>
    <w:rsid w:val="00296227"/>
    <w:rsid w:val="00296693"/>
    <w:rsid w:val="00296F44"/>
    <w:rsid w:val="0029777D"/>
    <w:rsid w:val="002A055E"/>
    <w:rsid w:val="002A1D4E"/>
    <w:rsid w:val="002A2869"/>
    <w:rsid w:val="002B0F85"/>
    <w:rsid w:val="002B24D6"/>
    <w:rsid w:val="002B25CA"/>
    <w:rsid w:val="002C41E6"/>
    <w:rsid w:val="002C7FA7"/>
    <w:rsid w:val="002D071A"/>
    <w:rsid w:val="002D0B29"/>
    <w:rsid w:val="002D241C"/>
    <w:rsid w:val="002D2A50"/>
    <w:rsid w:val="002D34B2"/>
    <w:rsid w:val="002D48B0"/>
    <w:rsid w:val="002D5B37"/>
    <w:rsid w:val="002D5EF2"/>
    <w:rsid w:val="002D679A"/>
    <w:rsid w:val="002D728F"/>
    <w:rsid w:val="002D7637"/>
    <w:rsid w:val="002E06C1"/>
    <w:rsid w:val="002E17F2"/>
    <w:rsid w:val="002E3858"/>
    <w:rsid w:val="002E412F"/>
    <w:rsid w:val="002E79A5"/>
    <w:rsid w:val="002E7ADC"/>
    <w:rsid w:val="002E7CAE"/>
    <w:rsid w:val="002F1CF5"/>
    <w:rsid w:val="002F2771"/>
    <w:rsid w:val="002F37A9"/>
    <w:rsid w:val="002F4EEE"/>
    <w:rsid w:val="002F7941"/>
    <w:rsid w:val="00301CE6"/>
    <w:rsid w:val="003023AF"/>
    <w:rsid w:val="0030256B"/>
    <w:rsid w:val="0030501F"/>
    <w:rsid w:val="00307BA1"/>
    <w:rsid w:val="00311702"/>
    <w:rsid w:val="00311E82"/>
    <w:rsid w:val="00313FD6"/>
    <w:rsid w:val="003143BD"/>
    <w:rsid w:val="0031517C"/>
    <w:rsid w:val="00315299"/>
    <w:rsid w:val="00315363"/>
    <w:rsid w:val="00315BD3"/>
    <w:rsid w:val="003203ED"/>
    <w:rsid w:val="00320BCC"/>
    <w:rsid w:val="00322C9F"/>
    <w:rsid w:val="00324D23"/>
    <w:rsid w:val="003277FB"/>
    <w:rsid w:val="00330254"/>
    <w:rsid w:val="00330611"/>
    <w:rsid w:val="00331751"/>
    <w:rsid w:val="00334579"/>
    <w:rsid w:val="00335269"/>
    <w:rsid w:val="0033574A"/>
    <w:rsid w:val="00335858"/>
    <w:rsid w:val="00336BDA"/>
    <w:rsid w:val="00341EE0"/>
    <w:rsid w:val="00342BD7"/>
    <w:rsid w:val="00346DB5"/>
    <w:rsid w:val="003477B1"/>
    <w:rsid w:val="00353658"/>
    <w:rsid w:val="003558A5"/>
    <w:rsid w:val="00356A0F"/>
    <w:rsid w:val="00357380"/>
    <w:rsid w:val="003579F7"/>
    <w:rsid w:val="003602D9"/>
    <w:rsid w:val="003604CE"/>
    <w:rsid w:val="00366EF1"/>
    <w:rsid w:val="003678F5"/>
    <w:rsid w:val="0036795D"/>
    <w:rsid w:val="00370E47"/>
    <w:rsid w:val="00371337"/>
    <w:rsid w:val="003724B3"/>
    <w:rsid w:val="00373320"/>
    <w:rsid w:val="00373C17"/>
    <w:rsid w:val="003742AC"/>
    <w:rsid w:val="00374361"/>
    <w:rsid w:val="00374962"/>
    <w:rsid w:val="003749E3"/>
    <w:rsid w:val="00377CE1"/>
    <w:rsid w:val="00380E7A"/>
    <w:rsid w:val="003836D9"/>
    <w:rsid w:val="00385BF0"/>
    <w:rsid w:val="00385E46"/>
    <w:rsid w:val="00390486"/>
    <w:rsid w:val="003939FF"/>
    <w:rsid w:val="003948B8"/>
    <w:rsid w:val="0039569A"/>
    <w:rsid w:val="00396208"/>
    <w:rsid w:val="003A2223"/>
    <w:rsid w:val="003A2A0F"/>
    <w:rsid w:val="003A322B"/>
    <w:rsid w:val="003A45A1"/>
    <w:rsid w:val="003A5B0A"/>
    <w:rsid w:val="003A6BAC"/>
    <w:rsid w:val="003A6FD0"/>
    <w:rsid w:val="003A70A4"/>
    <w:rsid w:val="003A7EF3"/>
    <w:rsid w:val="003B0F56"/>
    <w:rsid w:val="003B159C"/>
    <w:rsid w:val="003B246B"/>
    <w:rsid w:val="003B369F"/>
    <w:rsid w:val="003B36A3"/>
    <w:rsid w:val="003B64BB"/>
    <w:rsid w:val="003B7FE5"/>
    <w:rsid w:val="003C08A0"/>
    <w:rsid w:val="003C11C8"/>
    <w:rsid w:val="003C2702"/>
    <w:rsid w:val="003C2C2B"/>
    <w:rsid w:val="003C2F33"/>
    <w:rsid w:val="003C4268"/>
    <w:rsid w:val="003C76D8"/>
    <w:rsid w:val="003C7806"/>
    <w:rsid w:val="003D06CA"/>
    <w:rsid w:val="003D0B14"/>
    <w:rsid w:val="003D109F"/>
    <w:rsid w:val="003D2478"/>
    <w:rsid w:val="003D3C45"/>
    <w:rsid w:val="003D3CD6"/>
    <w:rsid w:val="003D5B1F"/>
    <w:rsid w:val="003D5F2C"/>
    <w:rsid w:val="003E0042"/>
    <w:rsid w:val="003E15FA"/>
    <w:rsid w:val="003E2EE3"/>
    <w:rsid w:val="003E55E4"/>
    <w:rsid w:val="003E73A1"/>
    <w:rsid w:val="003E74E3"/>
    <w:rsid w:val="003F05C7"/>
    <w:rsid w:val="003F2CD4"/>
    <w:rsid w:val="003F6BBE"/>
    <w:rsid w:val="003F6E28"/>
    <w:rsid w:val="004000E8"/>
    <w:rsid w:val="00401FB1"/>
    <w:rsid w:val="00402E2B"/>
    <w:rsid w:val="004043FB"/>
    <w:rsid w:val="004049F1"/>
    <w:rsid w:val="0040512B"/>
    <w:rsid w:val="00405CA5"/>
    <w:rsid w:val="00407CD3"/>
    <w:rsid w:val="00410134"/>
    <w:rsid w:val="00410B72"/>
    <w:rsid w:val="00410F18"/>
    <w:rsid w:val="0041263E"/>
    <w:rsid w:val="00412817"/>
    <w:rsid w:val="00413AAC"/>
    <w:rsid w:val="00413B76"/>
    <w:rsid w:val="00413E92"/>
    <w:rsid w:val="00415E64"/>
    <w:rsid w:val="004163C9"/>
    <w:rsid w:val="004209CE"/>
    <w:rsid w:val="00421105"/>
    <w:rsid w:val="00422AA4"/>
    <w:rsid w:val="004242F4"/>
    <w:rsid w:val="00424AAD"/>
    <w:rsid w:val="00427248"/>
    <w:rsid w:val="00433AEE"/>
    <w:rsid w:val="00437447"/>
    <w:rsid w:val="00441A92"/>
    <w:rsid w:val="00441ED5"/>
    <w:rsid w:val="004431DC"/>
    <w:rsid w:val="00444222"/>
    <w:rsid w:val="004443C0"/>
    <w:rsid w:val="00444F56"/>
    <w:rsid w:val="00446488"/>
    <w:rsid w:val="004509A2"/>
    <w:rsid w:val="004517AA"/>
    <w:rsid w:val="00452344"/>
    <w:rsid w:val="00452A9B"/>
    <w:rsid w:val="00452CAC"/>
    <w:rsid w:val="0045507F"/>
    <w:rsid w:val="00457565"/>
    <w:rsid w:val="00457B71"/>
    <w:rsid w:val="004637D6"/>
    <w:rsid w:val="004669E2"/>
    <w:rsid w:val="00470C31"/>
    <w:rsid w:val="00471DE0"/>
    <w:rsid w:val="004734D0"/>
    <w:rsid w:val="004742AE"/>
    <w:rsid w:val="0047556B"/>
    <w:rsid w:val="00477768"/>
    <w:rsid w:val="004812D2"/>
    <w:rsid w:val="00487BB0"/>
    <w:rsid w:val="00492BC5"/>
    <w:rsid w:val="004964F1"/>
    <w:rsid w:val="004A14D7"/>
    <w:rsid w:val="004A16BC"/>
    <w:rsid w:val="004A2B94"/>
    <w:rsid w:val="004B1F57"/>
    <w:rsid w:val="004B22A2"/>
    <w:rsid w:val="004B4171"/>
    <w:rsid w:val="004B6E11"/>
    <w:rsid w:val="004B6F6A"/>
    <w:rsid w:val="004B71DE"/>
    <w:rsid w:val="004B7C0C"/>
    <w:rsid w:val="004C054F"/>
    <w:rsid w:val="004C23B0"/>
    <w:rsid w:val="004C3898"/>
    <w:rsid w:val="004D012A"/>
    <w:rsid w:val="004D0964"/>
    <w:rsid w:val="004D36B1"/>
    <w:rsid w:val="004D4B32"/>
    <w:rsid w:val="004D5C58"/>
    <w:rsid w:val="004D7EBD"/>
    <w:rsid w:val="004E2680"/>
    <w:rsid w:val="004E28F9"/>
    <w:rsid w:val="004E3AE2"/>
    <w:rsid w:val="004E3F74"/>
    <w:rsid w:val="004E462E"/>
    <w:rsid w:val="004E56DC"/>
    <w:rsid w:val="004E76F4"/>
    <w:rsid w:val="004F0B4E"/>
    <w:rsid w:val="004F0B6C"/>
    <w:rsid w:val="004F13F1"/>
    <w:rsid w:val="004F2078"/>
    <w:rsid w:val="004F28D7"/>
    <w:rsid w:val="004F4DA3"/>
    <w:rsid w:val="00503FAB"/>
    <w:rsid w:val="0050434C"/>
    <w:rsid w:val="00504A9A"/>
    <w:rsid w:val="00505A9C"/>
    <w:rsid w:val="00506557"/>
    <w:rsid w:val="0050677A"/>
    <w:rsid w:val="00507B87"/>
    <w:rsid w:val="005108D8"/>
    <w:rsid w:val="005116F9"/>
    <w:rsid w:val="00512D8C"/>
    <w:rsid w:val="005153A7"/>
    <w:rsid w:val="0052130D"/>
    <w:rsid w:val="005219CF"/>
    <w:rsid w:val="00522137"/>
    <w:rsid w:val="00523070"/>
    <w:rsid w:val="0052631E"/>
    <w:rsid w:val="00532005"/>
    <w:rsid w:val="00532B8C"/>
    <w:rsid w:val="00534B59"/>
    <w:rsid w:val="00535279"/>
    <w:rsid w:val="00536759"/>
    <w:rsid w:val="00537C62"/>
    <w:rsid w:val="00537E1A"/>
    <w:rsid w:val="00540902"/>
    <w:rsid w:val="005435B3"/>
    <w:rsid w:val="00545AE6"/>
    <w:rsid w:val="00546970"/>
    <w:rsid w:val="00550F1F"/>
    <w:rsid w:val="00553293"/>
    <w:rsid w:val="00554D1E"/>
    <w:rsid w:val="00554E19"/>
    <w:rsid w:val="0055504F"/>
    <w:rsid w:val="00555C7B"/>
    <w:rsid w:val="00555E72"/>
    <w:rsid w:val="0056121F"/>
    <w:rsid w:val="005624FA"/>
    <w:rsid w:val="005627BC"/>
    <w:rsid w:val="0056441F"/>
    <w:rsid w:val="005659F3"/>
    <w:rsid w:val="00567298"/>
    <w:rsid w:val="00572505"/>
    <w:rsid w:val="005753C2"/>
    <w:rsid w:val="00582809"/>
    <w:rsid w:val="00584596"/>
    <w:rsid w:val="005852E8"/>
    <w:rsid w:val="005862EB"/>
    <w:rsid w:val="0058798C"/>
    <w:rsid w:val="005900FA"/>
    <w:rsid w:val="00592826"/>
    <w:rsid w:val="005935A4"/>
    <w:rsid w:val="005948C2"/>
    <w:rsid w:val="00595DCA"/>
    <w:rsid w:val="0059754E"/>
    <w:rsid w:val="0059779B"/>
    <w:rsid w:val="005A209A"/>
    <w:rsid w:val="005A662D"/>
    <w:rsid w:val="005B1409"/>
    <w:rsid w:val="005B1D43"/>
    <w:rsid w:val="005B3022"/>
    <w:rsid w:val="005B328C"/>
    <w:rsid w:val="005B35D7"/>
    <w:rsid w:val="005B392A"/>
    <w:rsid w:val="005B3AA3"/>
    <w:rsid w:val="005B6772"/>
    <w:rsid w:val="005B6F83"/>
    <w:rsid w:val="005C2C4A"/>
    <w:rsid w:val="005C74FB"/>
    <w:rsid w:val="005C7948"/>
    <w:rsid w:val="005D1602"/>
    <w:rsid w:val="005D5D93"/>
    <w:rsid w:val="005D7471"/>
    <w:rsid w:val="005E0D3F"/>
    <w:rsid w:val="005E385F"/>
    <w:rsid w:val="005E38D1"/>
    <w:rsid w:val="005E5B81"/>
    <w:rsid w:val="005E63D1"/>
    <w:rsid w:val="005F2CB1"/>
    <w:rsid w:val="005F3025"/>
    <w:rsid w:val="005F618C"/>
    <w:rsid w:val="005F70BD"/>
    <w:rsid w:val="005F75C6"/>
    <w:rsid w:val="005F7737"/>
    <w:rsid w:val="0060013A"/>
    <w:rsid w:val="0060283C"/>
    <w:rsid w:val="00602FD2"/>
    <w:rsid w:val="006032B3"/>
    <w:rsid w:val="006046A5"/>
    <w:rsid w:val="00604F14"/>
    <w:rsid w:val="00611B83"/>
    <w:rsid w:val="00613257"/>
    <w:rsid w:val="00615C2C"/>
    <w:rsid w:val="0061647E"/>
    <w:rsid w:val="00620A71"/>
    <w:rsid w:val="00620D80"/>
    <w:rsid w:val="00622092"/>
    <w:rsid w:val="00622407"/>
    <w:rsid w:val="006234A6"/>
    <w:rsid w:val="00625E21"/>
    <w:rsid w:val="0062755C"/>
    <w:rsid w:val="00630001"/>
    <w:rsid w:val="00630394"/>
    <w:rsid w:val="006311B3"/>
    <w:rsid w:val="0063184B"/>
    <w:rsid w:val="0063284C"/>
    <w:rsid w:val="00636398"/>
    <w:rsid w:val="006368D3"/>
    <w:rsid w:val="00637056"/>
    <w:rsid w:val="006377EC"/>
    <w:rsid w:val="0064151F"/>
    <w:rsid w:val="00641533"/>
    <w:rsid w:val="0064208D"/>
    <w:rsid w:val="00643475"/>
    <w:rsid w:val="00643731"/>
    <w:rsid w:val="0064396A"/>
    <w:rsid w:val="0064624E"/>
    <w:rsid w:val="0065017C"/>
    <w:rsid w:val="00650AB9"/>
    <w:rsid w:val="00651356"/>
    <w:rsid w:val="00653742"/>
    <w:rsid w:val="006548F4"/>
    <w:rsid w:val="006549AA"/>
    <w:rsid w:val="00655733"/>
    <w:rsid w:val="00655ACD"/>
    <w:rsid w:val="00656A92"/>
    <w:rsid w:val="00656C7B"/>
    <w:rsid w:val="00656DDE"/>
    <w:rsid w:val="0066011D"/>
    <w:rsid w:val="006607C0"/>
    <w:rsid w:val="006613A6"/>
    <w:rsid w:val="006627A2"/>
    <w:rsid w:val="00662EA5"/>
    <w:rsid w:val="006634E6"/>
    <w:rsid w:val="006655EE"/>
    <w:rsid w:val="006659B4"/>
    <w:rsid w:val="00667172"/>
    <w:rsid w:val="00667EE7"/>
    <w:rsid w:val="00670922"/>
    <w:rsid w:val="00670BE1"/>
    <w:rsid w:val="0067218F"/>
    <w:rsid w:val="0067386C"/>
    <w:rsid w:val="006741F2"/>
    <w:rsid w:val="00674CC3"/>
    <w:rsid w:val="00675C72"/>
    <w:rsid w:val="00676A85"/>
    <w:rsid w:val="006771F9"/>
    <w:rsid w:val="006776D7"/>
    <w:rsid w:val="00681003"/>
    <w:rsid w:val="006817C9"/>
    <w:rsid w:val="00683ECE"/>
    <w:rsid w:val="00686474"/>
    <w:rsid w:val="00693A86"/>
    <w:rsid w:val="00694362"/>
    <w:rsid w:val="00695FC2"/>
    <w:rsid w:val="00696949"/>
    <w:rsid w:val="00697052"/>
    <w:rsid w:val="006970AA"/>
    <w:rsid w:val="00697B8C"/>
    <w:rsid w:val="006A2A89"/>
    <w:rsid w:val="006A3D85"/>
    <w:rsid w:val="006A46FB"/>
    <w:rsid w:val="006A5943"/>
    <w:rsid w:val="006A5E28"/>
    <w:rsid w:val="006A697B"/>
    <w:rsid w:val="006A7AFF"/>
    <w:rsid w:val="006B1816"/>
    <w:rsid w:val="006B2099"/>
    <w:rsid w:val="006B38F2"/>
    <w:rsid w:val="006B50CF"/>
    <w:rsid w:val="006B628A"/>
    <w:rsid w:val="006C03B8"/>
    <w:rsid w:val="006C5EC9"/>
    <w:rsid w:val="006C6059"/>
    <w:rsid w:val="006C7522"/>
    <w:rsid w:val="006C7D47"/>
    <w:rsid w:val="006D3D10"/>
    <w:rsid w:val="006D5F1F"/>
    <w:rsid w:val="006D6F08"/>
    <w:rsid w:val="006E062C"/>
    <w:rsid w:val="006E18EA"/>
    <w:rsid w:val="006E1C82"/>
    <w:rsid w:val="006E28B7"/>
    <w:rsid w:val="006E2A9B"/>
    <w:rsid w:val="006E3310"/>
    <w:rsid w:val="006E4E39"/>
    <w:rsid w:val="006E565E"/>
    <w:rsid w:val="006E58D8"/>
    <w:rsid w:val="006E673D"/>
    <w:rsid w:val="006E7D3B"/>
    <w:rsid w:val="006F1B70"/>
    <w:rsid w:val="006F341D"/>
    <w:rsid w:val="006F3CDE"/>
    <w:rsid w:val="006F58D4"/>
    <w:rsid w:val="006F6582"/>
    <w:rsid w:val="0070346E"/>
    <w:rsid w:val="00704337"/>
    <w:rsid w:val="00704EDB"/>
    <w:rsid w:val="00706101"/>
    <w:rsid w:val="00707072"/>
    <w:rsid w:val="00707D61"/>
    <w:rsid w:val="00712287"/>
    <w:rsid w:val="00712772"/>
    <w:rsid w:val="00712BAF"/>
    <w:rsid w:val="0071421B"/>
    <w:rsid w:val="007148D3"/>
    <w:rsid w:val="00715B9A"/>
    <w:rsid w:val="007257D0"/>
    <w:rsid w:val="00725832"/>
    <w:rsid w:val="00726AB9"/>
    <w:rsid w:val="00726EA6"/>
    <w:rsid w:val="00727208"/>
    <w:rsid w:val="00727680"/>
    <w:rsid w:val="00727AD0"/>
    <w:rsid w:val="00730820"/>
    <w:rsid w:val="007348B1"/>
    <w:rsid w:val="007362A6"/>
    <w:rsid w:val="00736D7D"/>
    <w:rsid w:val="00740E58"/>
    <w:rsid w:val="007445A0"/>
    <w:rsid w:val="0074524B"/>
    <w:rsid w:val="00747D8B"/>
    <w:rsid w:val="007504A8"/>
    <w:rsid w:val="00751228"/>
    <w:rsid w:val="00752FF3"/>
    <w:rsid w:val="007571E1"/>
    <w:rsid w:val="00757A16"/>
    <w:rsid w:val="007604B2"/>
    <w:rsid w:val="00760C90"/>
    <w:rsid w:val="00765281"/>
    <w:rsid w:val="00766BAD"/>
    <w:rsid w:val="00770C67"/>
    <w:rsid w:val="0077219D"/>
    <w:rsid w:val="007729A2"/>
    <w:rsid w:val="007755F2"/>
    <w:rsid w:val="00776971"/>
    <w:rsid w:val="00780A80"/>
    <w:rsid w:val="0078177E"/>
    <w:rsid w:val="0078304C"/>
    <w:rsid w:val="00783673"/>
    <w:rsid w:val="00784658"/>
    <w:rsid w:val="00785490"/>
    <w:rsid w:val="00787AAE"/>
    <w:rsid w:val="00791415"/>
    <w:rsid w:val="007925EA"/>
    <w:rsid w:val="007930B8"/>
    <w:rsid w:val="00793CD8"/>
    <w:rsid w:val="00793FAE"/>
    <w:rsid w:val="007945EE"/>
    <w:rsid w:val="00795C92"/>
    <w:rsid w:val="00796231"/>
    <w:rsid w:val="007A1B78"/>
    <w:rsid w:val="007A1CB3"/>
    <w:rsid w:val="007A306F"/>
    <w:rsid w:val="007A43A6"/>
    <w:rsid w:val="007A58A6"/>
    <w:rsid w:val="007B07B2"/>
    <w:rsid w:val="007B3D2D"/>
    <w:rsid w:val="007B50AE"/>
    <w:rsid w:val="007B51DF"/>
    <w:rsid w:val="007C05DD"/>
    <w:rsid w:val="007C0702"/>
    <w:rsid w:val="007C3D18"/>
    <w:rsid w:val="007C52EE"/>
    <w:rsid w:val="007C60BF"/>
    <w:rsid w:val="007C6A07"/>
    <w:rsid w:val="007C75A1"/>
    <w:rsid w:val="007C77A5"/>
    <w:rsid w:val="007D04E5"/>
    <w:rsid w:val="007D161E"/>
    <w:rsid w:val="007D206D"/>
    <w:rsid w:val="007D3604"/>
    <w:rsid w:val="007D3F4A"/>
    <w:rsid w:val="007D5901"/>
    <w:rsid w:val="007D7526"/>
    <w:rsid w:val="007E0F9D"/>
    <w:rsid w:val="007E242A"/>
    <w:rsid w:val="007E4610"/>
    <w:rsid w:val="007E4715"/>
    <w:rsid w:val="007E505B"/>
    <w:rsid w:val="007E54F6"/>
    <w:rsid w:val="007E5710"/>
    <w:rsid w:val="007E7091"/>
    <w:rsid w:val="007F04B6"/>
    <w:rsid w:val="007F07E1"/>
    <w:rsid w:val="007F441D"/>
    <w:rsid w:val="0080155C"/>
    <w:rsid w:val="00803FAE"/>
    <w:rsid w:val="00804056"/>
    <w:rsid w:val="00804CAA"/>
    <w:rsid w:val="00804D2B"/>
    <w:rsid w:val="00805705"/>
    <w:rsid w:val="0080605F"/>
    <w:rsid w:val="00807719"/>
    <w:rsid w:val="00807786"/>
    <w:rsid w:val="00811FCB"/>
    <w:rsid w:val="008158D6"/>
    <w:rsid w:val="00817196"/>
    <w:rsid w:val="00820BAC"/>
    <w:rsid w:val="008235DB"/>
    <w:rsid w:val="00824AB4"/>
    <w:rsid w:val="00825659"/>
    <w:rsid w:val="00825C42"/>
    <w:rsid w:val="00825D25"/>
    <w:rsid w:val="00826AAE"/>
    <w:rsid w:val="00827D6F"/>
    <w:rsid w:val="008326FE"/>
    <w:rsid w:val="008376AC"/>
    <w:rsid w:val="008439D9"/>
    <w:rsid w:val="008444E8"/>
    <w:rsid w:val="00844E80"/>
    <w:rsid w:val="00846FE7"/>
    <w:rsid w:val="00851ABC"/>
    <w:rsid w:val="008554EC"/>
    <w:rsid w:val="00856911"/>
    <w:rsid w:val="008627E4"/>
    <w:rsid w:val="00864BE0"/>
    <w:rsid w:val="008677FD"/>
    <w:rsid w:val="0086787A"/>
    <w:rsid w:val="008706D4"/>
    <w:rsid w:val="00870F8A"/>
    <w:rsid w:val="008719A4"/>
    <w:rsid w:val="00871D23"/>
    <w:rsid w:val="00874312"/>
    <w:rsid w:val="0087437C"/>
    <w:rsid w:val="0087472C"/>
    <w:rsid w:val="00875CD7"/>
    <w:rsid w:val="00876B4D"/>
    <w:rsid w:val="00877F18"/>
    <w:rsid w:val="00877F56"/>
    <w:rsid w:val="00882496"/>
    <w:rsid w:val="00883AED"/>
    <w:rsid w:val="00884CA5"/>
    <w:rsid w:val="00886024"/>
    <w:rsid w:val="00887B2D"/>
    <w:rsid w:val="00887F45"/>
    <w:rsid w:val="008941E3"/>
    <w:rsid w:val="00894A88"/>
    <w:rsid w:val="00895386"/>
    <w:rsid w:val="008963A7"/>
    <w:rsid w:val="008A21FF"/>
    <w:rsid w:val="008A24CD"/>
    <w:rsid w:val="008A2CE2"/>
    <w:rsid w:val="008A30AC"/>
    <w:rsid w:val="008A44B8"/>
    <w:rsid w:val="008A51A8"/>
    <w:rsid w:val="008A54C7"/>
    <w:rsid w:val="008A62FC"/>
    <w:rsid w:val="008A77D8"/>
    <w:rsid w:val="008B0483"/>
    <w:rsid w:val="008B0B54"/>
    <w:rsid w:val="008B120C"/>
    <w:rsid w:val="008B51A0"/>
    <w:rsid w:val="008B592A"/>
    <w:rsid w:val="008B7B5C"/>
    <w:rsid w:val="008C0C99"/>
    <w:rsid w:val="008C2017"/>
    <w:rsid w:val="008C4958"/>
    <w:rsid w:val="008C4B85"/>
    <w:rsid w:val="008C4BAA"/>
    <w:rsid w:val="008C4E52"/>
    <w:rsid w:val="008C6AE8"/>
    <w:rsid w:val="008C7031"/>
    <w:rsid w:val="008C7573"/>
    <w:rsid w:val="008D00A5"/>
    <w:rsid w:val="008D34F1"/>
    <w:rsid w:val="008D39D8"/>
    <w:rsid w:val="008D5F3B"/>
    <w:rsid w:val="008D6D1A"/>
    <w:rsid w:val="008E065E"/>
    <w:rsid w:val="008E0927"/>
    <w:rsid w:val="008E1024"/>
    <w:rsid w:val="008E1909"/>
    <w:rsid w:val="008E29F3"/>
    <w:rsid w:val="008E2F92"/>
    <w:rsid w:val="008E49B8"/>
    <w:rsid w:val="008F0909"/>
    <w:rsid w:val="008F1EAB"/>
    <w:rsid w:val="008F33DC"/>
    <w:rsid w:val="008F477F"/>
    <w:rsid w:val="008F5EBC"/>
    <w:rsid w:val="0090144C"/>
    <w:rsid w:val="00901FFE"/>
    <w:rsid w:val="00902350"/>
    <w:rsid w:val="009023ED"/>
    <w:rsid w:val="00902944"/>
    <w:rsid w:val="0090336B"/>
    <w:rsid w:val="0090429F"/>
    <w:rsid w:val="009053AA"/>
    <w:rsid w:val="00905BA5"/>
    <w:rsid w:val="00906939"/>
    <w:rsid w:val="00910482"/>
    <w:rsid w:val="00910B7D"/>
    <w:rsid w:val="00911DFB"/>
    <w:rsid w:val="009139D9"/>
    <w:rsid w:val="00913F0A"/>
    <w:rsid w:val="00914AD8"/>
    <w:rsid w:val="00915226"/>
    <w:rsid w:val="00916079"/>
    <w:rsid w:val="00917CE9"/>
    <w:rsid w:val="00920BF2"/>
    <w:rsid w:val="00922010"/>
    <w:rsid w:val="009250BC"/>
    <w:rsid w:val="009310D5"/>
    <w:rsid w:val="00931BD9"/>
    <w:rsid w:val="00934239"/>
    <w:rsid w:val="009368F3"/>
    <w:rsid w:val="00937CE4"/>
    <w:rsid w:val="00941636"/>
    <w:rsid w:val="00943742"/>
    <w:rsid w:val="00944B86"/>
    <w:rsid w:val="00945C05"/>
    <w:rsid w:val="00946945"/>
    <w:rsid w:val="00947713"/>
    <w:rsid w:val="00950DE7"/>
    <w:rsid w:val="00953920"/>
    <w:rsid w:val="00953D47"/>
    <w:rsid w:val="009561A4"/>
    <w:rsid w:val="0095681E"/>
    <w:rsid w:val="009572D4"/>
    <w:rsid w:val="00961007"/>
    <w:rsid w:val="00961921"/>
    <w:rsid w:val="00961D58"/>
    <w:rsid w:val="0096430A"/>
    <w:rsid w:val="0096530C"/>
    <w:rsid w:val="0096554B"/>
    <w:rsid w:val="0096584A"/>
    <w:rsid w:val="00971D28"/>
    <w:rsid w:val="00971F08"/>
    <w:rsid w:val="0097603D"/>
    <w:rsid w:val="00976949"/>
    <w:rsid w:val="00977683"/>
    <w:rsid w:val="00980477"/>
    <w:rsid w:val="009823B3"/>
    <w:rsid w:val="00983824"/>
    <w:rsid w:val="00983BD5"/>
    <w:rsid w:val="009845AF"/>
    <w:rsid w:val="00985253"/>
    <w:rsid w:val="009853B3"/>
    <w:rsid w:val="00986FA3"/>
    <w:rsid w:val="00990630"/>
    <w:rsid w:val="00991761"/>
    <w:rsid w:val="00992301"/>
    <w:rsid w:val="00994D8E"/>
    <w:rsid w:val="00994DCA"/>
    <w:rsid w:val="00995695"/>
    <w:rsid w:val="009960EC"/>
    <w:rsid w:val="009964DC"/>
    <w:rsid w:val="0099658A"/>
    <w:rsid w:val="009970DD"/>
    <w:rsid w:val="009A0E5D"/>
    <w:rsid w:val="009A0FBA"/>
    <w:rsid w:val="009A1601"/>
    <w:rsid w:val="009A3BB6"/>
    <w:rsid w:val="009A462D"/>
    <w:rsid w:val="009A5703"/>
    <w:rsid w:val="009A5CBA"/>
    <w:rsid w:val="009A702C"/>
    <w:rsid w:val="009B1EE7"/>
    <w:rsid w:val="009B1F30"/>
    <w:rsid w:val="009B2BE3"/>
    <w:rsid w:val="009B31EE"/>
    <w:rsid w:val="009B3AC2"/>
    <w:rsid w:val="009B4DF4"/>
    <w:rsid w:val="009B564E"/>
    <w:rsid w:val="009B67AE"/>
    <w:rsid w:val="009B7E87"/>
    <w:rsid w:val="009C0169"/>
    <w:rsid w:val="009C0456"/>
    <w:rsid w:val="009C403E"/>
    <w:rsid w:val="009C6512"/>
    <w:rsid w:val="009D4FF0"/>
    <w:rsid w:val="009D547C"/>
    <w:rsid w:val="009D703C"/>
    <w:rsid w:val="009D718B"/>
    <w:rsid w:val="009D718F"/>
    <w:rsid w:val="009E068F"/>
    <w:rsid w:val="009E14E0"/>
    <w:rsid w:val="009E35DB"/>
    <w:rsid w:val="009E47A3"/>
    <w:rsid w:val="009E5024"/>
    <w:rsid w:val="009E6521"/>
    <w:rsid w:val="009F08F3"/>
    <w:rsid w:val="009F2134"/>
    <w:rsid w:val="009F344F"/>
    <w:rsid w:val="00A031D8"/>
    <w:rsid w:val="00A048A8"/>
    <w:rsid w:val="00A04F49"/>
    <w:rsid w:val="00A10269"/>
    <w:rsid w:val="00A12DD0"/>
    <w:rsid w:val="00A13E54"/>
    <w:rsid w:val="00A179D4"/>
    <w:rsid w:val="00A17F63"/>
    <w:rsid w:val="00A2193B"/>
    <w:rsid w:val="00A2351A"/>
    <w:rsid w:val="00A264A9"/>
    <w:rsid w:val="00A26528"/>
    <w:rsid w:val="00A26DCF"/>
    <w:rsid w:val="00A27785"/>
    <w:rsid w:val="00A30187"/>
    <w:rsid w:val="00A32797"/>
    <w:rsid w:val="00A3448A"/>
    <w:rsid w:val="00A34D02"/>
    <w:rsid w:val="00A34F87"/>
    <w:rsid w:val="00A36297"/>
    <w:rsid w:val="00A375D5"/>
    <w:rsid w:val="00A403D1"/>
    <w:rsid w:val="00A41D9A"/>
    <w:rsid w:val="00A41E2B"/>
    <w:rsid w:val="00A42838"/>
    <w:rsid w:val="00A42BC2"/>
    <w:rsid w:val="00A43B84"/>
    <w:rsid w:val="00A45B74"/>
    <w:rsid w:val="00A5169E"/>
    <w:rsid w:val="00A52E1D"/>
    <w:rsid w:val="00A5402E"/>
    <w:rsid w:val="00A57582"/>
    <w:rsid w:val="00A61499"/>
    <w:rsid w:val="00A61D39"/>
    <w:rsid w:val="00A62A77"/>
    <w:rsid w:val="00A63483"/>
    <w:rsid w:val="00A657D7"/>
    <w:rsid w:val="00A65945"/>
    <w:rsid w:val="00A660AC"/>
    <w:rsid w:val="00A67E6C"/>
    <w:rsid w:val="00A701A1"/>
    <w:rsid w:val="00A7194B"/>
    <w:rsid w:val="00A71B99"/>
    <w:rsid w:val="00A739D0"/>
    <w:rsid w:val="00A74026"/>
    <w:rsid w:val="00A761D4"/>
    <w:rsid w:val="00A77EC4"/>
    <w:rsid w:val="00A81029"/>
    <w:rsid w:val="00A83B39"/>
    <w:rsid w:val="00A84BE0"/>
    <w:rsid w:val="00A866EA"/>
    <w:rsid w:val="00A90369"/>
    <w:rsid w:val="00A91FB5"/>
    <w:rsid w:val="00A92879"/>
    <w:rsid w:val="00A9442A"/>
    <w:rsid w:val="00AA016F"/>
    <w:rsid w:val="00AA1ED6"/>
    <w:rsid w:val="00AA3804"/>
    <w:rsid w:val="00AA51D6"/>
    <w:rsid w:val="00AB0BC8"/>
    <w:rsid w:val="00AB11CA"/>
    <w:rsid w:val="00AB14D9"/>
    <w:rsid w:val="00AB4932"/>
    <w:rsid w:val="00AB4AB8"/>
    <w:rsid w:val="00AB655E"/>
    <w:rsid w:val="00AC007F"/>
    <w:rsid w:val="00AC275C"/>
    <w:rsid w:val="00AC2ECD"/>
    <w:rsid w:val="00AC3119"/>
    <w:rsid w:val="00AC49FB"/>
    <w:rsid w:val="00AC5A10"/>
    <w:rsid w:val="00AD048F"/>
    <w:rsid w:val="00AD0AA3"/>
    <w:rsid w:val="00AD21EA"/>
    <w:rsid w:val="00AD3F94"/>
    <w:rsid w:val="00AD4A5A"/>
    <w:rsid w:val="00AD5982"/>
    <w:rsid w:val="00AD5C12"/>
    <w:rsid w:val="00AE27AC"/>
    <w:rsid w:val="00AE383D"/>
    <w:rsid w:val="00AE40E0"/>
    <w:rsid w:val="00AE4DBA"/>
    <w:rsid w:val="00AE4F07"/>
    <w:rsid w:val="00AF1C5D"/>
    <w:rsid w:val="00AF40EF"/>
    <w:rsid w:val="00AF42D7"/>
    <w:rsid w:val="00AF4F44"/>
    <w:rsid w:val="00B006FE"/>
    <w:rsid w:val="00B007CB"/>
    <w:rsid w:val="00B00934"/>
    <w:rsid w:val="00B02AA9"/>
    <w:rsid w:val="00B02FA3"/>
    <w:rsid w:val="00B05084"/>
    <w:rsid w:val="00B06D33"/>
    <w:rsid w:val="00B10633"/>
    <w:rsid w:val="00B10BF3"/>
    <w:rsid w:val="00B14BF2"/>
    <w:rsid w:val="00B1568D"/>
    <w:rsid w:val="00B157F9"/>
    <w:rsid w:val="00B1737B"/>
    <w:rsid w:val="00B17658"/>
    <w:rsid w:val="00B20256"/>
    <w:rsid w:val="00B20D09"/>
    <w:rsid w:val="00B21002"/>
    <w:rsid w:val="00B2763F"/>
    <w:rsid w:val="00B2769A"/>
    <w:rsid w:val="00B27AAC"/>
    <w:rsid w:val="00B3048E"/>
    <w:rsid w:val="00B30929"/>
    <w:rsid w:val="00B30A3E"/>
    <w:rsid w:val="00B32605"/>
    <w:rsid w:val="00B343FB"/>
    <w:rsid w:val="00B372AA"/>
    <w:rsid w:val="00B374B1"/>
    <w:rsid w:val="00B40101"/>
    <w:rsid w:val="00B40445"/>
    <w:rsid w:val="00B409E0"/>
    <w:rsid w:val="00B41888"/>
    <w:rsid w:val="00B422FF"/>
    <w:rsid w:val="00B45A52"/>
    <w:rsid w:val="00B46175"/>
    <w:rsid w:val="00B466C9"/>
    <w:rsid w:val="00B51F62"/>
    <w:rsid w:val="00B52AD4"/>
    <w:rsid w:val="00B548B7"/>
    <w:rsid w:val="00B54F3C"/>
    <w:rsid w:val="00B56301"/>
    <w:rsid w:val="00B62984"/>
    <w:rsid w:val="00B664C7"/>
    <w:rsid w:val="00B66D3A"/>
    <w:rsid w:val="00B70ACA"/>
    <w:rsid w:val="00B739F6"/>
    <w:rsid w:val="00B76B0D"/>
    <w:rsid w:val="00B81A6C"/>
    <w:rsid w:val="00B84CAF"/>
    <w:rsid w:val="00B85DE5"/>
    <w:rsid w:val="00B86C64"/>
    <w:rsid w:val="00B90D0B"/>
    <w:rsid w:val="00B90F73"/>
    <w:rsid w:val="00B93B59"/>
    <w:rsid w:val="00B9406A"/>
    <w:rsid w:val="00B970D8"/>
    <w:rsid w:val="00BA0073"/>
    <w:rsid w:val="00BA1AD4"/>
    <w:rsid w:val="00BA1E66"/>
    <w:rsid w:val="00BA2280"/>
    <w:rsid w:val="00BA2A08"/>
    <w:rsid w:val="00BA56D2"/>
    <w:rsid w:val="00BA627E"/>
    <w:rsid w:val="00BA76E0"/>
    <w:rsid w:val="00BB0576"/>
    <w:rsid w:val="00BB244B"/>
    <w:rsid w:val="00BB2600"/>
    <w:rsid w:val="00BB2A25"/>
    <w:rsid w:val="00BB444B"/>
    <w:rsid w:val="00BB51E9"/>
    <w:rsid w:val="00BB771D"/>
    <w:rsid w:val="00BC0FDC"/>
    <w:rsid w:val="00BC3053"/>
    <w:rsid w:val="00BC49F8"/>
    <w:rsid w:val="00BC4BF3"/>
    <w:rsid w:val="00BC4D2E"/>
    <w:rsid w:val="00BD33A0"/>
    <w:rsid w:val="00BD48AC"/>
    <w:rsid w:val="00BD4C07"/>
    <w:rsid w:val="00BD5F1A"/>
    <w:rsid w:val="00BE1234"/>
    <w:rsid w:val="00BE2FA6"/>
    <w:rsid w:val="00BE333F"/>
    <w:rsid w:val="00BE4E5A"/>
    <w:rsid w:val="00BE537C"/>
    <w:rsid w:val="00BE54DB"/>
    <w:rsid w:val="00BE7406"/>
    <w:rsid w:val="00BE7603"/>
    <w:rsid w:val="00BE7868"/>
    <w:rsid w:val="00BF312F"/>
    <w:rsid w:val="00BF3279"/>
    <w:rsid w:val="00BF3E04"/>
    <w:rsid w:val="00BF74C7"/>
    <w:rsid w:val="00C015F1"/>
    <w:rsid w:val="00C01F33"/>
    <w:rsid w:val="00C02CC6"/>
    <w:rsid w:val="00C040F7"/>
    <w:rsid w:val="00C044AB"/>
    <w:rsid w:val="00C05706"/>
    <w:rsid w:val="00C07377"/>
    <w:rsid w:val="00C10478"/>
    <w:rsid w:val="00C10E4E"/>
    <w:rsid w:val="00C12107"/>
    <w:rsid w:val="00C14D4B"/>
    <w:rsid w:val="00C154BB"/>
    <w:rsid w:val="00C17F24"/>
    <w:rsid w:val="00C17F32"/>
    <w:rsid w:val="00C21ACD"/>
    <w:rsid w:val="00C24B56"/>
    <w:rsid w:val="00C268E6"/>
    <w:rsid w:val="00C279B5"/>
    <w:rsid w:val="00C27C45"/>
    <w:rsid w:val="00C35DFF"/>
    <w:rsid w:val="00C3719D"/>
    <w:rsid w:val="00C37CB2"/>
    <w:rsid w:val="00C45109"/>
    <w:rsid w:val="00C4538D"/>
    <w:rsid w:val="00C473A5"/>
    <w:rsid w:val="00C52C6D"/>
    <w:rsid w:val="00C54995"/>
    <w:rsid w:val="00C54A41"/>
    <w:rsid w:val="00C54D41"/>
    <w:rsid w:val="00C55855"/>
    <w:rsid w:val="00C558CF"/>
    <w:rsid w:val="00C60783"/>
    <w:rsid w:val="00C6105B"/>
    <w:rsid w:val="00C64672"/>
    <w:rsid w:val="00C70697"/>
    <w:rsid w:val="00C72093"/>
    <w:rsid w:val="00C72409"/>
    <w:rsid w:val="00C72EF4"/>
    <w:rsid w:val="00C743D4"/>
    <w:rsid w:val="00C744FE"/>
    <w:rsid w:val="00C75D2F"/>
    <w:rsid w:val="00C767BE"/>
    <w:rsid w:val="00C76A3E"/>
    <w:rsid w:val="00C76E3C"/>
    <w:rsid w:val="00C80D50"/>
    <w:rsid w:val="00C81568"/>
    <w:rsid w:val="00C81C90"/>
    <w:rsid w:val="00C83980"/>
    <w:rsid w:val="00C86B09"/>
    <w:rsid w:val="00C9027A"/>
    <w:rsid w:val="00C9068E"/>
    <w:rsid w:val="00C92A82"/>
    <w:rsid w:val="00C93814"/>
    <w:rsid w:val="00C93C4B"/>
    <w:rsid w:val="00C944AB"/>
    <w:rsid w:val="00C95ACF"/>
    <w:rsid w:val="00C95B40"/>
    <w:rsid w:val="00CA095C"/>
    <w:rsid w:val="00CA0BCD"/>
    <w:rsid w:val="00CA1A13"/>
    <w:rsid w:val="00CA1ED8"/>
    <w:rsid w:val="00CA239D"/>
    <w:rsid w:val="00CA36D5"/>
    <w:rsid w:val="00CA58D7"/>
    <w:rsid w:val="00CA5B4A"/>
    <w:rsid w:val="00CA6CC1"/>
    <w:rsid w:val="00CB16F6"/>
    <w:rsid w:val="00CB1F63"/>
    <w:rsid w:val="00CB7170"/>
    <w:rsid w:val="00CC040E"/>
    <w:rsid w:val="00CC052E"/>
    <w:rsid w:val="00CC111F"/>
    <w:rsid w:val="00CC2011"/>
    <w:rsid w:val="00CC3EA0"/>
    <w:rsid w:val="00CC444E"/>
    <w:rsid w:val="00CC4DBD"/>
    <w:rsid w:val="00CC52ED"/>
    <w:rsid w:val="00CC6422"/>
    <w:rsid w:val="00CC7B45"/>
    <w:rsid w:val="00CD1188"/>
    <w:rsid w:val="00CD2ED1"/>
    <w:rsid w:val="00CD337B"/>
    <w:rsid w:val="00CD6CD2"/>
    <w:rsid w:val="00CD7EF9"/>
    <w:rsid w:val="00CD7F4C"/>
    <w:rsid w:val="00CE0424"/>
    <w:rsid w:val="00CE0503"/>
    <w:rsid w:val="00CE0B23"/>
    <w:rsid w:val="00CE0C04"/>
    <w:rsid w:val="00CE3078"/>
    <w:rsid w:val="00CE3AA2"/>
    <w:rsid w:val="00CE468B"/>
    <w:rsid w:val="00CE7561"/>
    <w:rsid w:val="00CE75BA"/>
    <w:rsid w:val="00CE7F62"/>
    <w:rsid w:val="00CF1354"/>
    <w:rsid w:val="00CF1B62"/>
    <w:rsid w:val="00CF3595"/>
    <w:rsid w:val="00CF3B1F"/>
    <w:rsid w:val="00CF3BF6"/>
    <w:rsid w:val="00CF3E17"/>
    <w:rsid w:val="00CF5A7B"/>
    <w:rsid w:val="00CF625B"/>
    <w:rsid w:val="00CF687E"/>
    <w:rsid w:val="00D0349B"/>
    <w:rsid w:val="00D10249"/>
    <w:rsid w:val="00D115C3"/>
    <w:rsid w:val="00D11897"/>
    <w:rsid w:val="00D13135"/>
    <w:rsid w:val="00D13E4E"/>
    <w:rsid w:val="00D15A9B"/>
    <w:rsid w:val="00D17513"/>
    <w:rsid w:val="00D23303"/>
    <w:rsid w:val="00D239A7"/>
    <w:rsid w:val="00D23F47"/>
    <w:rsid w:val="00D25DCC"/>
    <w:rsid w:val="00D26D6E"/>
    <w:rsid w:val="00D35B57"/>
    <w:rsid w:val="00D36E71"/>
    <w:rsid w:val="00D374BD"/>
    <w:rsid w:val="00D37D87"/>
    <w:rsid w:val="00D40B33"/>
    <w:rsid w:val="00D40C21"/>
    <w:rsid w:val="00D4318F"/>
    <w:rsid w:val="00D438BF"/>
    <w:rsid w:val="00D440F8"/>
    <w:rsid w:val="00D541F6"/>
    <w:rsid w:val="00D546FF"/>
    <w:rsid w:val="00D55AD5"/>
    <w:rsid w:val="00D57461"/>
    <w:rsid w:val="00D576CA"/>
    <w:rsid w:val="00D61AF5"/>
    <w:rsid w:val="00D62C8E"/>
    <w:rsid w:val="00D6302C"/>
    <w:rsid w:val="00D652B5"/>
    <w:rsid w:val="00D66155"/>
    <w:rsid w:val="00D66BCD"/>
    <w:rsid w:val="00D708B0"/>
    <w:rsid w:val="00D77B1D"/>
    <w:rsid w:val="00D77CF9"/>
    <w:rsid w:val="00D8021F"/>
    <w:rsid w:val="00D80383"/>
    <w:rsid w:val="00D823C6"/>
    <w:rsid w:val="00D8327F"/>
    <w:rsid w:val="00D86CA3"/>
    <w:rsid w:val="00D871CE"/>
    <w:rsid w:val="00D90035"/>
    <w:rsid w:val="00D901E1"/>
    <w:rsid w:val="00D90E05"/>
    <w:rsid w:val="00D9196D"/>
    <w:rsid w:val="00D92982"/>
    <w:rsid w:val="00D92DA1"/>
    <w:rsid w:val="00DA1565"/>
    <w:rsid w:val="00DA1DD2"/>
    <w:rsid w:val="00DA1F01"/>
    <w:rsid w:val="00DA305E"/>
    <w:rsid w:val="00DA5417"/>
    <w:rsid w:val="00DA56E8"/>
    <w:rsid w:val="00DB0A9F"/>
    <w:rsid w:val="00DB377D"/>
    <w:rsid w:val="00DB54D5"/>
    <w:rsid w:val="00DC0FCF"/>
    <w:rsid w:val="00DC2D36"/>
    <w:rsid w:val="00DC53EF"/>
    <w:rsid w:val="00DC5C54"/>
    <w:rsid w:val="00DC68C0"/>
    <w:rsid w:val="00DD02C0"/>
    <w:rsid w:val="00DD0C5B"/>
    <w:rsid w:val="00DD1DDE"/>
    <w:rsid w:val="00DD42EA"/>
    <w:rsid w:val="00DD5064"/>
    <w:rsid w:val="00DD6A3E"/>
    <w:rsid w:val="00DE2054"/>
    <w:rsid w:val="00DE5608"/>
    <w:rsid w:val="00DE58D0"/>
    <w:rsid w:val="00DE654F"/>
    <w:rsid w:val="00DF0B6E"/>
    <w:rsid w:val="00DF15E0"/>
    <w:rsid w:val="00DF1B64"/>
    <w:rsid w:val="00DF37A0"/>
    <w:rsid w:val="00E01181"/>
    <w:rsid w:val="00E022BE"/>
    <w:rsid w:val="00E04A1B"/>
    <w:rsid w:val="00E07A7F"/>
    <w:rsid w:val="00E110E7"/>
    <w:rsid w:val="00E11B20"/>
    <w:rsid w:val="00E157A5"/>
    <w:rsid w:val="00E16233"/>
    <w:rsid w:val="00E16623"/>
    <w:rsid w:val="00E17FA2"/>
    <w:rsid w:val="00E20827"/>
    <w:rsid w:val="00E20840"/>
    <w:rsid w:val="00E22330"/>
    <w:rsid w:val="00E2426A"/>
    <w:rsid w:val="00E2571F"/>
    <w:rsid w:val="00E30B5A"/>
    <w:rsid w:val="00E3123D"/>
    <w:rsid w:val="00E31437"/>
    <w:rsid w:val="00E31461"/>
    <w:rsid w:val="00E31D43"/>
    <w:rsid w:val="00E323AD"/>
    <w:rsid w:val="00E32608"/>
    <w:rsid w:val="00E34188"/>
    <w:rsid w:val="00E34B6E"/>
    <w:rsid w:val="00E35559"/>
    <w:rsid w:val="00E3723A"/>
    <w:rsid w:val="00E37860"/>
    <w:rsid w:val="00E40F13"/>
    <w:rsid w:val="00E4213A"/>
    <w:rsid w:val="00E43BC9"/>
    <w:rsid w:val="00E446F1"/>
    <w:rsid w:val="00E46886"/>
    <w:rsid w:val="00E47AEF"/>
    <w:rsid w:val="00E530FF"/>
    <w:rsid w:val="00E53B75"/>
    <w:rsid w:val="00E54E3B"/>
    <w:rsid w:val="00E57565"/>
    <w:rsid w:val="00E602B0"/>
    <w:rsid w:val="00E6084D"/>
    <w:rsid w:val="00E63838"/>
    <w:rsid w:val="00E64434"/>
    <w:rsid w:val="00E677DB"/>
    <w:rsid w:val="00E67972"/>
    <w:rsid w:val="00E67C51"/>
    <w:rsid w:val="00E7102E"/>
    <w:rsid w:val="00E72EFC"/>
    <w:rsid w:val="00E7454E"/>
    <w:rsid w:val="00E758EC"/>
    <w:rsid w:val="00E77245"/>
    <w:rsid w:val="00E80A76"/>
    <w:rsid w:val="00E8172C"/>
    <w:rsid w:val="00E8234C"/>
    <w:rsid w:val="00E82510"/>
    <w:rsid w:val="00E83AA9"/>
    <w:rsid w:val="00E847A3"/>
    <w:rsid w:val="00E85928"/>
    <w:rsid w:val="00E8767C"/>
    <w:rsid w:val="00E87822"/>
    <w:rsid w:val="00E90395"/>
    <w:rsid w:val="00E90E49"/>
    <w:rsid w:val="00E917F9"/>
    <w:rsid w:val="00E9291C"/>
    <w:rsid w:val="00E9376C"/>
    <w:rsid w:val="00E93FFE"/>
    <w:rsid w:val="00E94F8A"/>
    <w:rsid w:val="00E95879"/>
    <w:rsid w:val="00E95D58"/>
    <w:rsid w:val="00E96F82"/>
    <w:rsid w:val="00E97C5A"/>
    <w:rsid w:val="00EA0990"/>
    <w:rsid w:val="00EA2C9F"/>
    <w:rsid w:val="00EA7A41"/>
    <w:rsid w:val="00EB077B"/>
    <w:rsid w:val="00EB08EC"/>
    <w:rsid w:val="00EB4EA2"/>
    <w:rsid w:val="00EC24D5"/>
    <w:rsid w:val="00EC27C6"/>
    <w:rsid w:val="00EC4207"/>
    <w:rsid w:val="00EC5653"/>
    <w:rsid w:val="00EC71CE"/>
    <w:rsid w:val="00EC7596"/>
    <w:rsid w:val="00ED1006"/>
    <w:rsid w:val="00ED35F2"/>
    <w:rsid w:val="00ED618A"/>
    <w:rsid w:val="00EE4630"/>
    <w:rsid w:val="00EF09A1"/>
    <w:rsid w:val="00EF18FE"/>
    <w:rsid w:val="00EF457E"/>
    <w:rsid w:val="00EF5787"/>
    <w:rsid w:val="00EF60D0"/>
    <w:rsid w:val="00F013D2"/>
    <w:rsid w:val="00F038D2"/>
    <w:rsid w:val="00F0528D"/>
    <w:rsid w:val="00F06C67"/>
    <w:rsid w:val="00F06DFD"/>
    <w:rsid w:val="00F071D1"/>
    <w:rsid w:val="00F07533"/>
    <w:rsid w:val="00F10629"/>
    <w:rsid w:val="00F10CE6"/>
    <w:rsid w:val="00F143B7"/>
    <w:rsid w:val="00F1447C"/>
    <w:rsid w:val="00F15FA5"/>
    <w:rsid w:val="00F209B7"/>
    <w:rsid w:val="00F20F5C"/>
    <w:rsid w:val="00F2376F"/>
    <w:rsid w:val="00F243D8"/>
    <w:rsid w:val="00F30815"/>
    <w:rsid w:val="00F30828"/>
    <w:rsid w:val="00F313D6"/>
    <w:rsid w:val="00F31FC8"/>
    <w:rsid w:val="00F40F0C"/>
    <w:rsid w:val="00F42853"/>
    <w:rsid w:val="00F4766C"/>
    <w:rsid w:val="00F5060E"/>
    <w:rsid w:val="00F507D1"/>
    <w:rsid w:val="00F519CE"/>
    <w:rsid w:val="00F51ADA"/>
    <w:rsid w:val="00F54CE0"/>
    <w:rsid w:val="00F57292"/>
    <w:rsid w:val="00F60203"/>
    <w:rsid w:val="00F60419"/>
    <w:rsid w:val="00F607C5"/>
    <w:rsid w:val="00F60DEA"/>
    <w:rsid w:val="00F6302A"/>
    <w:rsid w:val="00F63950"/>
    <w:rsid w:val="00F6401C"/>
    <w:rsid w:val="00F64C2B"/>
    <w:rsid w:val="00F651BE"/>
    <w:rsid w:val="00F6546A"/>
    <w:rsid w:val="00F65981"/>
    <w:rsid w:val="00F67F53"/>
    <w:rsid w:val="00F703BE"/>
    <w:rsid w:val="00F71F69"/>
    <w:rsid w:val="00F72B72"/>
    <w:rsid w:val="00F73A0C"/>
    <w:rsid w:val="00F74BB9"/>
    <w:rsid w:val="00F75582"/>
    <w:rsid w:val="00F76EFA"/>
    <w:rsid w:val="00F77CC4"/>
    <w:rsid w:val="00F804BE"/>
    <w:rsid w:val="00F817CE"/>
    <w:rsid w:val="00F81A55"/>
    <w:rsid w:val="00F82096"/>
    <w:rsid w:val="00F82B8D"/>
    <w:rsid w:val="00F8456C"/>
    <w:rsid w:val="00F859D8"/>
    <w:rsid w:val="00F86884"/>
    <w:rsid w:val="00F868F5"/>
    <w:rsid w:val="00F9056A"/>
    <w:rsid w:val="00F90C28"/>
    <w:rsid w:val="00F90F8D"/>
    <w:rsid w:val="00F92782"/>
    <w:rsid w:val="00F929CB"/>
    <w:rsid w:val="00F93AA9"/>
    <w:rsid w:val="00F94FCE"/>
    <w:rsid w:val="00F96985"/>
    <w:rsid w:val="00F97838"/>
    <w:rsid w:val="00F97BFB"/>
    <w:rsid w:val="00FA09AC"/>
    <w:rsid w:val="00FA1B31"/>
    <w:rsid w:val="00FA2508"/>
    <w:rsid w:val="00FA2BB3"/>
    <w:rsid w:val="00FA4126"/>
    <w:rsid w:val="00FA4FFB"/>
    <w:rsid w:val="00FA6F3F"/>
    <w:rsid w:val="00FB4C80"/>
    <w:rsid w:val="00FB5D58"/>
    <w:rsid w:val="00FB6A6A"/>
    <w:rsid w:val="00FB7AAC"/>
    <w:rsid w:val="00FC1B53"/>
    <w:rsid w:val="00FC7429"/>
    <w:rsid w:val="00FD07F6"/>
    <w:rsid w:val="00FD1EC8"/>
    <w:rsid w:val="00FD47ED"/>
    <w:rsid w:val="00FD74DB"/>
    <w:rsid w:val="00FD7660"/>
    <w:rsid w:val="00FE0655"/>
    <w:rsid w:val="00FE2365"/>
    <w:rsid w:val="00FE2F21"/>
    <w:rsid w:val="00FE37D7"/>
    <w:rsid w:val="00FE46DC"/>
    <w:rsid w:val="00FE4C7B"/>
    <w:rsid w:val="00FE7336"/>
    <w:rsid w:val="00FE753D"/>
    <w:rsid w:val="00FE787C"/>
    <w:rsid w:val="00FF35A5"/>
    <w:rsid w:val="00FF45A5"/>
    <w:rsid w:val="00FF5247"/>
    <w:rsid w:val="00FF5C91"/>
    <w:rsid w:val="024738EF"/>
    <w:rsid w:val="02683B53"/>
    <w:rsid w:val="09185BE3"/>
    <w:rsid w:val="0EC5D8A0"/>
    <w:rsid w:val="12D1A64B"/>
    <w:rsid w:val="13058A74"/>
    <w:rsid w:val="14A90E5C"/>
    <w:rsid w:val="1528F83E"/>
    <w:rsid w:val="178566F2"/>
    <w:rsid w:val="18EDE2A8"/>
    <w:rsid w:val="1ABC63CC"/>
    <w:rsid w:val="1B2593D4"/>
    <w:rsid w:val="1B445871"/>
    <w:rsid w:val="1D1A21CB"/>
    <w:rsid w:val="1FBE8EC7"/>
    <w:rsid w:val="2249885F"/>
    <w:rsid w:val="2505E916"/>
    <w:rsid w:val="2567BB14"/>
    <w:rsid w:val="25A88FFA"/>
    <w:rsid w:val="272E4F38"/>
    <w:rsid w:val="27A07057"/>
    <w:rsid w:val="2824662C"/>
    <w:rsid w:val="2BC2E2F5"/>
    <w:rsid w:val="2C93D639"/>
    <w:rsid w:val="32956AFA"/>
    <w:rsid w:val="34856835"/>
    <w:rsid w:val="356F4806"/>
    <w:rsid w:val="35A21F8E"/>
    <w:rsid w:val="36361413"/>
    <w:rsid w:val="37A84C00"/>
    <w:rsid w:val="3821C460"/>
    <w:rsid w:val="3875976B"/>
    <w:rsid w:val="396C57E4"/>
    <w:rsid w:val="3A0C34E9"/>
    <w:rsid w:val="3A17040C"/>
    <w:rsid w:val="3BEF998C"/>
    <w:rsid w:val="3D4D81F1"/>
    <w:rsid w:val="4085E693"/>
    <w:rsid w:val="41423080"/>
    <w:rsid w:val="43585628"/>
    <w:rsid w:val="43DEB84C"/>
    <w:rsid w:val="46991CA5"/>
    <w:rsid w:val="48917565"/>
    <w:rsid w:val="489D4A3A"/>
    <w:rsid w:val="4AA91748"/>
    <w:rsid w:val="4C2E8159"/>
    <w:rsid w:val="5283ABAD"/>
    <w:rsid w:val="53824337"/>
    <w:rsid w:val="55A3AA1F"/>
    <w:rsid w:val="562D7877"/>
    <w:rsid w:val="57AD8B52"/>
    <w:rsid w:val="58DCDFB1"/>
    <w:rsid w:val="5C6B5A04"/>
    <w:rsid w:val="5D83E2EE"/>
    <w:rsid w:val="5D88007C"/>
    <w:rsid w:val="61CEA49A"/>
    <w:rsid w:val="6302359D"/>
    <w:rsid w:val="630A66B4"/>
    <w:rsid w:val="6600AA94"/>
    <w:rsid w:val="66F7138A"/>
    <w:rsid w:val="6716CE82"/>
    <w:rsid w:val="67E80DE3"/>
    <w:rsid w:val="6820F3CA"/>
    <w:rsid w:val="69D96B21"/>
    <w:rsid w:val="6A67E2D7"/>
    <w:rsid w:val="6B0FA626"/>
    <w:rsid w:val="6CE34E53"/>
    <w:rsid w:val="7269BCCF"/>
    <w:rsid w:val="72D27D7F"/>
    <w:rsid w:val="7418CEF2"/>
    <w:rsid w:val="7552D390"/>
    <w:rsid w:val="75C311DF"/>
    <w:rsid w:val="764BE3F7"/>
    <w:rsid w:val="77A24036"/>
    <w:rsid w:val="7A2506C3"/>
    <w:rsid w:val="7AC88419"/>
    <w:rsid w:val="7AE7B24A"/>
    <w:rsid w:val="7DE581CC"/>
    <w:rsid w:val="7EEB9F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E14C147"/>
  <w15:chartTrackingRefBased/>
  <w15:docId w15:val="{D245838A-364D-487A-9909-E675E46E8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29"/>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F1F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F1F15"/>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41385712">
      <w:bodyDiv w:val="1"/>
      <w:marLeft w:val="0"/>
      <w:marRight w:val="0"/>
      <w:marTop w:val="0"/>
      <w:marBottom w:val="0"/>
      <w:divBdr>
        <w:top w:val="none" w:sz="0" w:space="0" w:color="auto"/>
        <w:left w:val="none" w:sz="0" w:space="0" w:color="auto"/>
        <w:bottom w:val="none" w:sz="0" w:space="0" w:color="auto"/>
        <w:right w:val="none" w:sz="0" w:space="0" w:color="auto"/>
      </w:divBdr>
    </w:div>
    <w:div w:id="1889561077">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FA086-45FE-45C1-8D0A-4C9F96661F83}"/>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8762117-8292-4133-b1c7-eab5c6487cfd"/>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4.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Pages>
  <Words>3550</Words>
  <Characters>20239</Characters>
  <Application>Microsoft Office Word</Application>
  <DocSecurity>4</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23742</CharactersWithSpaces>
  <SharedDoc>false</SharedDoc>
  <HLinks>
    <vt:vector size="150" baseType="variant">
      <vt:variant>
        <vt:i4>1703987</vt:i4>
      </vt:variant>
      <vt:variant>
        <vt:i4>77</vt:i4>
      </vt:variant>
      <vt:variant>
        <vt:i4>0</vt:i4>
      </vt:variant>
      <vt:variant>
        <vt:i4>5</vt:i4>
      </vt:variant>
      <vt:variant>
        <vt:lpwstr/>
      </vt:variant>
      <vt:variant>
        <vt:lpwstr>_Toc110963463</vt:lpwstr>
      </vt:variant>
      <vt:variant>
        <vt:i4>1703987</vt:i4>
      </vt:variant>
      <vt:variant>
        <vt:i4>74</vt:i4>
      </vt:variant>
      <vt:variant>
        <vt:i4>0</vt:i4>
      </vt:variant>
      <vt:variant>
        <vt:i4>5</vt:i4>
      </vt:variant>
      <vt:variant>
        <vt:lpwstr/>
      </vt:variant>
      <vt:variant>
        <vt:lpwstr>_Toc110963462</vt:lpwstr>
      </vt:variant>
      <vt:variant>
        <vt:i4>1703987</vt:i4>
      </vt:variant>
      <vt:variant>
        <vt:i4>71</vt:i4>
      </vt:variant>
      <vt:variant>
        <vt:i4>0</vt:i4>
      </vt:variant>
      <vt:variant>
        <vt:i4>5</vt:i4>
      </vt:variant>
      <vt:variant>
        <vt:lpwstr/>
      </vt:variant>
      <vt:variant>
        <vt:lpwstr>_Toc110963461</vt:lpwstr>
      </vt:variant>
      <vt:variant>
        <vt:i4>1638451</vt:i4>
      </vt:variant>
      <vt:variant>
        <vt:i4>68</vt:i4>
      </vt:variant>
      <vt:variant>
        <vt:i4>0</vt:i4>
      </vt:variant>
      <vt:variant>
        <vt:i4>5</vt:i4>
      </vt:variant>
      <vt:variant>
        <vt:lpwstr/>
      </vt:variant>
      <vt:variant>
        <vt:lpwstr>_Toc110963459</vt:lpwstr>
      </vt:variant>
      <vt:variant>
        <vt:i4>1638451</vt:i4>
      </vt:variant>
      <vt:variant>
        <vt:i4>65</vt:i4>
      </vt:variant>
      <vt:variant>
        <vt:i4>0</vt:i4>
      </vt:variant>
      <vt:variant>
        <vt:i4>5</vt:i4>
      </vt:variant>
      <vt:variant>
        <vt:lpwstr/>
      </vt:variant>
      <vt:variant>
        <vt:lpwstr>_Toc110963456</vt:lpwstr>
      </vt:variant>
      <vt:variant>
        <vt:i4>1638451</vt:i4>
      </vt:variant>
      <vt:variant>
        <vt:i4>62</vt:i4>
      </vt:variant>
      <vt:variant>
        <vt:i4>0</vt:i4>
      </vt:variant>
      <vt:variant>
        <vt:i4>5</vt:i4>
      </vt:variant>
      <vt:variant>
        <vt:lpwstr/>
      </vt:variant>
      <vt:variant>
        <vt:lpwstr>_Toc110963455</vt:lpwstr>
      </vt:variant>
      <vt:variant>
        <vt:i4>1638451</vt:i4>
      </vt:variant>
      <vt:variant>
        <vt:i4>59</vt:i4>
      </vt:variant>
      <vt:variant>
        <vt:i4>0</vt:i4>
      </vt:variant>
      <vt:variant>
        <vt:i4>5</vt:i4>
      </vt:variant>
      <vt:variant>
        <vt:lpwstr/>
      </vt:variant>
      <vt:variant>
        <vt:lpwstr>_Toc110963454</vt:lpwstr>
      </vt:variant>
      <vt:variant>
        <vt:i4>1638451</vt:i4>
      </vt:variant>
      <vt:variant>
        <vt:i4>56</vt:i4>
      </vt:variant>
      <vt:variant>
        <vt:i4>0</vt:i4>
      </vt:variant>
      <vt:variant>
        <vt:i4>5</vt:i4>
      </vt:variant>
      <vt:variant>
        <vt:lpwstr/>
      </vt:variant>
      <vt:variant>
        <vt:lpwstr>_Toc110963453</vt:lpwstr>
      </vt:variant>
      <vt:variant>
        <vt:i4>1638451</vt:i4>
      </vt:variant>
      <vt:variant>
        <vt:i4>53</vt:i4>
      </vt:variant>
      <vt:variant>
        <vt:i4>0</vt:i4>
      </vt:variant>
      <vt:variant>
        <vt:i4>5</vt:i4>
      </vt:variant>
      <vt:variant>
        <vt:lpwstr/>
      </vt:variant>
      <vt:variant>
        <vt:lpwstr>_Toc110963452</vt:lpwstr>
      </vt:variant>
      <vt:variant>
        <vt:i4>1638451</vt:i4>
      </vt:variant>
      <vt:variant>
        <vt:i4>50</vt:i4>
      </vt:variant>
      <vt:variant>
        <vt:i4>0</vt:i4>
      </vt:variant>
      <vt:variant>
        <vt:i4>5</vt:i4>
      </vt:variant>
      <vt:variant>
        <vt:lpwstr/>
      </vt:variant>
      <vt:variant>
        <vt:lpwstr>_Toc110963451</vt:lpwstr>
      </vt:variant>
      <vt:variant>
        <vt:i4>1638451</vt:i4>
      </vt:variant>
      <vt:variant>
        <vt:i4>47</vt:i4>
      </vt:variant>
      <vt:variant>
        <vt:i4>0</vt:i4>
      </vt:variant>
      <vt:variant>
        <vt:i4>5</vt:i4>
      </vt:variant>
      <vt:variant>
        <vt:lpwstr/>
      </vt:variant>
      <vt:variant>
        <vt:lpwstr>_Toc110963450</vt:lpwstr>
      </vt:variant>
      <vt:variant>
        <vt:i4>1310783</vt:i4>
      </vt:variant>
      <vt:variant>
        <vt:i4>41</vt:i4>
      </vt:variant>
      <vt:variant>
        <vt:i4>0</vt:i4>
      </vt:variant>
      <vt:variant>
        <vt:i4>5</vt:i4>
      </vt:variant>
      <vt:variant>
        <vt:lpwstr/>
      </vt:variant>
      <vt:variant>
        <vt:lpwstr>_Toc110962894</vt:lpwstr>
      </vt:variant>
      <vt:variant>
        <vt:i4>1310783</vt:i4>
      </vt:variant>
      <vt:variant>
        <vt:i4>38</vt:i4>
      </vt:variant>
      <vt:variant>
        <vt:i4>0</vt:i4>
      </vt:variant>
      <vt:variant>
        <vt:i4>5</vt:i4>
      </vt:variant>
      <vt:variant>
        <vt:lpwstr/>
      </vt:variant>
      <vt:variant>
        <vt:lpwstr>_Toc110962893</vt:lpwstr>
      </vt:variant>
      <vt:variant>
        <vt:i4>1310783</vt:i4>
      </vt:variant>
      <vt:variant>
        <vt:i4>35</vt:i4>
      </vt:variant>
      <vt:variant>
        <vt:i4>0</vt:i4>
      </vt:variant>
      <vt:variant>
        <vt:i4>5</vt:i4>
      </vt:variant>
      <vt:variant>
        <vt:lpwstr/>
      </vt:variant>
      <vt:variant>
        <vt:lpwstr>_Toc110962892</vt:lpwstr>
      </vt:variant>
      <vt:variant>
        <vt:i4>1310783</vt:i4>
      </vt:variant>
      <vt:variant>
        <vt:i4>32</vt:i4>
      </vt:variant>
      <vt:variant>
        <vt:i4>0</vt:i4>
      </vt:variant>
      <vt:variant>
        <vt:i4>5</vt:i4>
      </vt:variant>
      <vt:variant>
        <vt:lpwstr/>
      </vt:variant>
      <vt:variant>
        <vt:lpwstr>_Toc110962891</vt:lpwstr>
      </vt:variant>
      <vt:variant>
        <vt:i4>1310783</vt:i4>
      </vt:variant>
      <vt:variant>
        <vt:i4>29</vt:i4>
      </vt:variant>
      <vt:variant>
        <vt:i4>0</vt:i4>
      </vt:variant>
      <vt:variant>
        <vt:i4>5</vt:i4>
      </vt:variant>
      <vt:variant>
        <vt:lpwstr/>
      </vt:variant>
      <vt:variant>
        <vt:lpwstr>_Toc110962890</vt:lpwstr>
      </vt:variant>
      <vt:variant>
        <vt:i4>1376319</vt:i4>
      </vt:variant>
      <vt:variant>
        <vt:i4>26</vt:i4>
      </vt:variant>
      <vt:variant>
        <vt:i4>0</vt:i4>
      </vt:variant>
      <vt:variant>
        <vt:i4>5</vt:i4>
      </vt:variant>
      <vt:variant>
        <vt:lpwstr/>
      </vt:variant>
      <vt:variant>
        <vt:lpwstr>_Toc110962889</vt:lpwstr>
      </vt:variant>
      <vt:variant>
        <vt:i4>1376319</vt:i4>
      </vt:variant>
      <vt:variant>
        <vt:i4>23</vt:i4>
      </vt:variant>
      <vt:variant>
        <vt:i4>0</vt:i4>
      </vt:variant>
      <vt:variant>
        <vt:i4>5</vt:i4>
      </vt:variant>
      <vt:variant>
        <vt:lpwstr/>
      </vt:variant>
      <vt:variant>
        <vt:lpwstr>_Toc110962888</vt:lpwstr>
      </vt:variant>
      <vt:variant>
        <vt:i4>1376319</vt:i4>
      </vt:variant>
      <vt:variant>
        <vt:i4>20</vt:i4>
      </vt:variant>
      <vt:variant>
        <vt:i4>0</vt:i4>
      </vt:variant>
      <vt:variant>
        <vt:i4>5</vt:i4>
      </vt:variant>
      <vt:variant>
        <vt:lpwstr/>
      </vt:variant>
      <vt:variant>
        <vt:lpwstr>_Toc110962887</vt:lpwstr>
      </vt:variant>
      <vt:variant>
        <vt:i4>1376319</vt:i4>
      </vt:variant>
      <vt:variant>
        <vt:i4>17</vt:i4>
      </vt:variant>
      <vt:variant>
        <vt:i4>0</vt:i4>
      </vt:variant>
      <vt:variant>
        <vt:i4>5</vt:i4>
      </vt:variant>
      <vt:variant>
        <vt:lpwstr/>
      </vt:variant>
      <vt:variant>
        <vt:lpwstr>_Toc110962886</vt:lpwstr>
      </vt:variant>
      <vt:variant>
        <vt:i4>1376319</vt:i4>
      </vt:variant>
      <vt:variant>
        <vt:i4>14</vt:i4>
      </vt:variant>
      <vt:variant>
        <vt:i4>0</vt:i4>
      </vt:variant>
      <vt:variant>
        <vt:i4>5</vt:i4>
      </vt:variant>
      <vt:variant>
        <vt:lpwstr/>
      </vt:variant>
      <vt:variant>
        <vt:lpwstr>_Toc110962885</vt:lpwstr>
      </vt:variant>
      <vt:variant>
        <vt:i4>1376319</vt:i4>
      </vt:variant>
      <vt:variant>
        <vt:i4>11</vt:i4>
      </vt:variant>
      <vt:variant>
        <vt:i4>0</vt:i4>
      </vt:variant>
      <vt:variant>
        <vt:i4>5</vt:i4>
      </vt:variant>
      <vt:variant>
        <vt:lpwstr/>
      </vt:variant>
      <vt:variant>
        <vt:lpwstr>_Toc110962884</vt:lpwstr>
      </vt:variant>
      <vt:variant>
        <vt:i4>1376319</vt:i4>
      </vt:variant>
      <vt:variant>
        <vt:i4>8</vt:i4>
      </vt:variant>
      <vt:variant>
        <vt:i4>0</vt:i4>
      </vt:variant>
      <vt:variant>
        <vt:i4>5</vt:i4>
      </vt:variant>
      <vt:variant>
        <vt:lpwstr/>
      </vt:variant>
      <vt:variant>
        <vt:lpwstr>_Toc110962883</vt:lpwstr>
      </vt:variant>
      <vt:variant>
        <vt:i4>1376319</vt:i4>
      </vt:variant>
      <vt:variant>
        <vt:i4>5</vt:i4>
      </vt:variant>
      <vt:variant>
        <vt:i4>0</vt:i4>
      </vt:variant>
      <vt:variant>
        <vt:i4>5</vt:i4>
      </vt:variant>
      <vt:variant>
        <vt:lpwstr/>
      </vt:variant>
      <vt:variant>
        <vt:lpwstr>_Toc110962882</vt:lpwstr>
      </vt:variant>
      <vt:variant>
        <vt:i4>1376319</vt:i4>
      </vt:variant>
      <vt:variant>
        <vt:i4>2</vt:i4>
      </vt:variant>
      <vt:variant>
        <vt:i4>0</vt:i4>
      </vt:variant>
      <vt:variant>
        <vt:i4>5</vt:i4>
      </vt:variant>
      <vt:variant>
        <vt:lpwstr/>
      </vt:variant>
      <vt:variant>
        <vt:lpwstr>_Toc110962881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 Parichehreh</cp:lastModifiedBy>
  <cp:revision>215</cp:revision>
  <dcterms:created xsi:type="dcterms:W3CDTF">2022-06-29T21:05:00Z</dcterms:created>
  <dcterms:modified xsi:type="dcterms:W3CDTF">2022-08-10T06:29:00Z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